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jc w:val="center"/>
        <w:rPr>
          <w:rFonts w:ascii="华文新魏" w:eastAsia="华文新魏"/>
          <w:sz w:val="52"/>
          <w:szCs w:val="52"/>
        </w:rPr>
      </w:pPr>
      <w:r>
        <w:rPr>
          <w:rFonts w:ascii="华文新魏" w:eastAsia="华文新魏"/>
          <w:sz w:val="52"/>
          <w:szCs w:val="52"/>
        </w:rPr>
        <mc:AlternateContent>
          <mc:Choice Requires="wps">
            <w:drawing>
              <wp:anchor distT="0" distB="0" distL="114300" distR="114300" simplePos="0" relativeHeight="251659264" behindDoc="0" locked="0" layoutInCell="1" allowOverlap="1">
                <wp:simplePos x="0" y="0"/>
                <wp:positionH relativeFrom="column">
                  <wp:posOffset>-214630</wp:posOffset>
                </wp:positionH>
                <wp:positionV relativeFrom="paragraph">
                  <wp:posOffset>100330</wp:posOffset>
                </wp:positionV>
                <wp:extent cx="2083435" cy="442595"/>
                <wp:effectExtent l="12065" t="14605" r="9525" b="9525"/>
                <wp:wrapNone/>
                <wp:docPr id="1" name="Text Box 4"/>
                <wp:cNvGraphicFramePr/>
                <a:graphic xmlns:a="http://schemas.openxmlformats.org/drawingml/2006/main">
                  <a:graphicData uri="http://schemas.microsoft.com/office/word/2010/wordprocessingShape">
                    <wps:wsp>
                      <wps:cNvSpPr txBox="1">
                        <a:spLocks noChangeArrowheads="1"/>
                      </wps:cNvSpPr>
                      <wps:spPr bwMode="auto">
                        <a:xfrm>
                          <a:off x="0" y="0"/>
                          <a:ext cx="2083435" cy="442595"/>
                        </a:xfrm>
                        <a:prstGeom prst="rect">
                          <a:avLst/>
                        </a:prstGeom>
                        <a:solidFill>
                          <a:srgbClr val="FFFFFF"/>
                        </a:solidFill>
                        <a:ln w="12700">
                          <a:solidFill>
                            <a:srgbClr val="000000"/>
                          </a:solidFill>
                          <a:miter lim="800000"/>
                        </a:ln>
                      </wps:spPr>
                      <wps:txbx>
                        <w:txbxContent>
                          <w:p>
                            <w:pPr>
                              <w:spacing w:line="240" w:lineRule="exact"/>
                              <w:jc w:val="center"/>
                              <w:rPr>
                                <w:rFonts w:ascii="宋体" w:hAnsi="宋体"/>
                                <w:b/>
                                <w:bCs/>
                                <w:sz w:val="24"/>
                              </w:rPr>
                            </w:pPr>
                            <w:r>
                              <w:rPr>
                                <w:rFonts w:hint="eastAsia" w:ascii="宋体" w:hAnsi="宋体"/>
                                <w:b/>
                                <w:bCs/>
                                <w:sz w:val="24"/>
                              </w:rPr>
                              <w:t>第十七届“振兴杯”全国</w:t>
                            </w:r>
                          </w:p>
                          <w:p>
                            <w:pPr>
                              <w:jc w:val="center"/>
                              <w:rPr>
                                <w:sz w:val="24"/>
                              </w:rPr>
                            </w:pPr>
                            <w:r>
                              <w:rPr>
                                <w:rFonts w:hint="eastAsia" w:ascii="宋体" w:hAnsi="宋体"/>
                                <w:b/>
                                <w:bCs/>
                                <w:sz w:val="24"/>
                              </w:rPr>
                              <w:t>青年职业技能大赛技术文件</w:t>
                            </w:r>
                          </w:p>
                        </w:txbxContent>
                      </wps:txbx>
                      <wps:bodyPr rot="0" vert="horz" wrap="square" lIns="91440" tIns="45720" rIns="91440" bIns="45720" anchor="t" anchorCtr="0" upright="1">
                        <a:noAutofit/>
                      </wps:bodyPr>
                    </wps:wsp>
                  </a:graphicData>
                </a:graphic>
              </wp:anchor>
            </w:drawing>
          </mc:Choice>
          <mc:Fallback>
            <w:pict>
              <v:shape id="Text Box 4" o:spid="_x0000_s1026" o:spt="202" type="#_x0000_t202" style="position:absolute;left:0pt;margin-left:-16.9pt;margin-top:7.9pt;height:34.85pt;width:164.05pt;z-index:251659264;mso-width-relative:page;mso-height-relative:page;" fillcolor="#FFFFFF" filled="t" stroked="t" coordsize="21600,21600" o:gfxdata="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AoRtSS3AAAAAkBAAAPAAAAAAAAAAEAIAAAACIAAABkcnMvZG93bnJl&#10;di54bWxQSwECFAAUAAAACACHTuJAistNYDICAACHBAAADgAAAAAAAAABACAAAAArAQAAZHJzL2Uy&#10;b0RvYy54bWxQSwUGAAAAAAYABgBZAQAAzwUAAAAA&#10;">
                <v:fill on="t" focussize="0,0"/>
                <v:stroke weight="1pt" color="#000000" miterlimit="8" joinstyle="miter"/>
                <v:imagedata o:title=""/>
                <o:lock v:ext="edit" aspectratio="f"/>
                <v:textbox>
                  <w:txbxContent>
                    <w:p>
                      <w:pPr>
                        <w:spacing w:line="240" w:lineRule="exact"/>
                        <w:jc w:val="center"/>
                        <w:rPr>
                          <w:rFonts w:ascii="宋体" w:hAnsi="宋体"/>
                          <w:b/>
                          <w:bCs/>
                          <w:sz w:val="24"/>
                        </w:rPr>
                      </w:pPr>
                      <w:r>
                        <w:rPr>
                          <w:rFonts w:hint="eastAsia" w:ascii="宋体" w:hAnsi="宋体"/>
                          <w:b/>
                          <w:bCs/>
                          <w:sz w:val="24"/>
                        </w:rPr>
                        <w:t>第十七届“振兴杯”全国</w:t>
                      </w:r>
                    </w:p>
                    <w:p>
                      <w:pPr>
                        <w:jc w:val="center"/>
                        <w:rPr>
                          <w:sz w:val="24"/>
                        </w:rPr>
                      </w:pPr>
                      <w:r>
                        <w:rPr>
                          <w:rFonts w:hint="eastAsia" w:ascii="宋体" w:hAnsi="宋体"/>
                          <w:b/>
                          <w:bCs/>
                          <w:sz w:val="24"/>
                        </w:rPr>
                        <w:t>青年职业技能大赛技术文件</w:t>
                      </w:r>
                    </w:p>
                  </w:txbxContent>
                </v:textbox>
              </v:shape>
            </w:pict>
          </mc:Fallback>
        </mc:AlternateContent>
      </w:r>
    </w:p>
    <w:p>
      <w:pPr>
        <w:jc w:val="center"/>
        <w:rPr>
          <w:rFonts w:ascii="华文新魏" w:eastAsia="华文新魏"/>
          <w:sz w:val="52"/>
          <w:szCs w:val="52"/>
        </w:rPr>
      </w:pPr>
    </w:p>
    <w:p>
      <w:pPr>
        <w:jc w:val="center"/>
        <w:rPr>
          <w:rFonts w:ascii="华文新魏" w:eastAsia="华文新魏"/>
          <w:sz w:val="52"/>
          <w:szCs w:val="52"/>
        </w:rPr>
      </w:pPr>
    </w:p>
    <w:p>
      <w:pPr>
        <w:jc w:val="center"/>
        <w:rPr>
          <w:rFonts w:ascii="黑体" w:hAnsi="黑体" w:eastAsia="黑体" w:cs="黑体"/>
          <w:sz w:val="72"/>
          <w:szCs w:val="72"/>
        </w:rPr>
      </w:pPr>
      <w:r>
        <w:rPr>
          <w:rFonts w:hint="eastAsia" w:ascii="黑体" w:hAnsi="黑体" w:eastAsia="黑体" w:cs="黑体"/>
          <w:sz w:val="72"/>
          <w:szCs w:val="72"/>
        </w:rPr>
        <w:t>车</w:t>
      </w:r>
      <w:r>
        <w:rPr>
          <w:rFonts w:hint="eastAsia" w:ascii="黑体" w:hAnsi="黑体" w:eastAsia="黑体" w:cs="黑体"/>
          <w:sz w:val="72"/>
          <w:szCs w:val="72"/>
          <w:lang w:val="en-US" w:eastAsia="zh-CN"/>
        </w:rPr>
        <w:t xml:space="preserve"> </w:t>
      </w:r>
      <w:bookmarkStart w:id="0" w:name="_GoBack"/>
      <w:bookmarkEnd w:id="0"/>
      <w:r>
        <w:rPr>
          <w:rFonts w:hint="eastAsia" w:ascii="黑体" w:hAnsi="黑体" w:eastAsia="黑体" w:cs="黑体"/>
          <w:sz w:val="72"/>
          <w:szCs w:val="72"/>
        </w:rPr>
        <w:t>工</w:t>
      </w:r>
    </w:p>
    <w:p>
      <w:pPr>
        <w:jc w:val="center"/>
        <w:rPr>
          <w:rFonts w:ascii="黑体" w:hAnsi="黑体" w:eastAsia="黑体" w:cs="黑体"/>
          <w:sz w:val="72"/>
          <w:szCs w:val="72"/>
        </w:rPr>
      </w:pPr>
      <w:r>
        <w:rPr>
          <w:rFonts w:hint="eastAsia" w:ascii="黑体" w:hAnsi="黑体" w:eastAsia="黑体" w:cs="黑体"/>
          <w:sz w:val="72"/>
          <w:szCs w:val="72"/>
        </w:rPr>
        <w:t>（职工组）</w:t>
      </w:r>
    </w:p>
    <w:p>
      <w:pPr>
        <w:jc w:val="center"/>
        <w:rPr>
          <w:rFonts w:ascii="华文新魏" w:eastAsia="华文新魏"/>
          <w:sz w:val="72"/>
          <w:szCs w:val="72"/>
        </w:rPr>
      </w:pPr>
      <w:r>
        <w:rPr>
          <w:rFonts w:hint="eastAsia" w:ascii="黑体" w:hAnsi="黑体" w:eastAsia="黑体" w:cs="黑体"/>
          <w:sz w:val="72"/>
          <w:szCs w:val="72"/>
        </w:rPr>
        <w:t>决赛技术文件</w:t>
      </w:r>
    </w:p>
    <w:p>
      <w:pPr>
        <w:jc w:val="center"/>
        <w:rPr>
          <w:rFonts w:ascii="华文新魏" w:eastAsia="华文新魏"/>
          <w:sz w:val="52"/>
          <w:szCs w:val="52"/>
        </w:rPr>
      </w:pPr>
    </w:p>
    <w:p>
      <w:pPr>
        <w:jc w:val="center"/>
        <w:rPr>
          <w:rFonts w:ascii="华文新魏" w:eastAsia="华文新魏"/>
          <w:sz w:val="52"/>
          <w:szCs w:val="52"/>
        </w:rPr>
      </w:pPr>
    </w:p>
    <w:p>
      <w:pPr>
        <w:jc w:val="center"/>
        <w:rPr>
          <w:rFonts w:ascii="华文新魏" w:eastAsia="华文新魏"/>
          <w:sz w:val="52"/>
          <w:szCs w:val="52"/>
        </w:rPr>
      </w:pPr>
    </w:p>
    <w:p>
      <w:pPr>
        <w:jc w:val="center"/>
        <w:rPr>
          <w:rFonts w:ascii="华文新魏" w:eastAsia="华文新魏"/>
          <w:sz w:val="52"/>
          <w:szCs w:val="52"/>
        </w:rPr>
      </w:pPr>
    </w:p>
    <w:p>
      <w:pPr>
        <w:jc w:val="center"/>
        <w:rPr>
          <w:rFonts w:ascii="华文新魏" w:eastAsia="华文新魏"/>
          <w:sz w:val="52"/>
          <w:szCs w:val="52"/>
        </w:rPr>
      </w:pPr>
    </w:p>
    <w:p>
      <w:pPr>
        <w:jc w:val="center"/>
        <w:rPr>
          <w:rFonts w:ascii="华文新魏" w:eastAsia="华文新魏"/>
          <w:sz w:val="52"/>
          <w:szCs w:val="52"/>
        </w:rPr>
      </w:pPr>
    </w:p>
    <w:p>
      <w:pPr>
        <w:jc w:val="center"/>
        <w:rPr>
          <w:rFonts w:ascii="华文新魏" w:eastAsia="华文新魏"/>
          <w:sz w:val="52"/>
          <w:szCs w:val="52"/>
        </w:rPr>
      </w:pPr>
    </w:p>
    <w:p>
      <w:pPr>
        <w:jc w:val="center"/>
        <w:rPr>
          <w:rFonts w:ascii="黑体" w:hAnsi="黑体" w:eastAsia="黑体" w:cs="黑体"/>
          <w:b/>
          <w:sz w:val="32"/>
          <w:szCs w:val="32"/>
        </w:rPr>
      </w:pPr>
      <w:r>
        <w:rPr>
          <w:rFonts w:hint="eastAsia" w:ascii="黑体" w:hAnsi="黑体" w:eastAsia="黑体" w:cs="黑体"/>
          <w:b/>
          <w:sz w:val="32"/>
          <w:szCs w:val="32"/>
        </w:rPr>
        <w:t>第十七届“振兴杯”全国青年职业技能大赛组委会</w:t>
      </w:r>
    </w:p>
    <w:p>
      <w:pPr>
        <w:jc w:val="center"/>
        <w:rPr>
          <w:rFonts w:ascii="黑体" w:hAnsi="黑体" w:eastAsia="黑体" w:cs="黑体"/>
          <w:b/>
          <w:sz w:val="32"/>
          <w:szCs w:val="32"/>
        </w:rPr>
      </w:pPr>
      <w:r>
        <w:rPr>
          <w:rFonts w:hint="eastAsia" w:ascii="黑体" w:hAnsi="黑体" w:eastAsia="黑体" w:cs="黑体"/>
          <w:b/>
          <w:sz w:val="32"/>
          <w:szCs w:val="32"/>
        </w:rPr>
        <w:t>202</w:t>
      </w:r>
      <w:r>
        <w:rPr>
          <w:rFonts w:ascii="黑体" w:hAnsi="黑体" w:eastAsia="黑体" w:cs="黑体"/>
          <w:b/>
          <w:sz w:val="32"/>
          <w:szCs w:val="32"/>
        </w:rPr>
        <w:t>2</w:t>
      </w:r>
      <w:r>
        <w:rPr>
          <w:rFonts w:hint="eastAsia" w:ascii="黑体" w:hAnsi="黑体" w:eastAsia="黑体" w:cs="黑体"/>
          <w:b/>
          <w:sz w:val="32"/>
          <w:szCs w:val="32"/>
        </w:rPr>
        <w:t>年</w:t>
      </w:r>
      <w:r>
        <w:rPr>
          <w:rFonts w:ascii="黑体" w:hAnsi="黑体" w:eastAsia="黑体" w:cs="黑体"/>
          <w:b/>
          <w:sz w:val="32"/>
          <w:szCs w:val="32"/>
        </w:rPr>
        <w:t>7</w:t>
      </w:r>
      <w:r>
        <w:rPr>
          <w:rFonts w:hint="eastAsia" w:ascii="黑体" w:hAnsi="黑体" w:eastAsia="黑体" w:cs="黑体"/>
          <w:b/>
          <w:sz w:val="32"/>
          <w:szCs w:val="32"/>
        </w:rPr>
        <w:t>月</w:t>
      </w:r>
    </w:p>
    <w:p>
      <w:pPr>
        <w:spacing w:line="500" w:lineRule="exact"/>
        <w:rPr>
          <w:b/>
          <w:bCs/>
          <w:sz w:val="36"/>
          <w:szCs w:val="36"/>
        </w:rPr>
      </w:pPr>
    </w:p>
    <w:p>
      <w:pPr>
        <w:spacing w:line="500" w:lineRule="exact"/>
        <w:jc w:val="center"/>
        <w:rPr>
          <w:rFonts w:ascii="黑体" w:hAnsi="黑体" w:eastAsia="黑体" w:cs="黑体"/>
          <w:b/>
          <w:bCs/>
          <w:sz w:val="32"/>
          <w:szCs w:val="32"/>
        </w:rPr>
      </w:pPr>
      <w:r>
        <w:rPr>
          <w:rFonts w:hint="eastAsia" w:ascii="黑体" w:hAnsi="黑体" w:eastAsia="黑体" w:cs="黑体"/>
          <w:b/>
          <w:bCs/>
          <w:sz w:val="32"/>
          <w:szCs w:val="32"/>
        </w:rPr>
        <w:t>第十七届“振兴杯”全国青年职业技能大赛</w:t>
      </w:r>
    </w:p>
    <w:p>
      <w:pPr>
        <w:jc w:val="center"/>
        <w:rPr>
          <w:rFonts w:ascii="宋体" w:hAnsi="华文细黑"/>
          <w:b/>
          <w:bCs/>
          <w:sz w:val="32"/>
          <w:szCs w:val="32"/>
        </w:rPr>
      </w:pPr>
      <w:r>
        <w:rPr>
          <w:rFonts w:hint="eastAsia" w:ascii="黑体" w:hAnsi="黑体" w:eastAsia="黑体" w:cs="黑体"/>
          <w:b/>
          <w:bCs/>
          <w:sz w:val="32"/>
          <w:szCs w:val="32"/>
        </w:rPr>
        <w:t>车工决赛技术文件</w:t>
      </w:r>
    </w:p>
    <w:p>
      <w:pPr>
        <w:spacing w:before="156" w:beforeLines="50" w:after="156" w:afterLines="50" w:line="360" w:lineRule="auto"/>
        <w:ind w:firstLine="602" w:firstLineChars="200"/>
        <w:rPr>
          <w:rFonts w:ascii="黑体" w:hAnsi="黑体" w:eastAsia="黑体" w:cs="黑体"/>
          <w:b/>
          <w:bCs/>
          <w:sz w:val="30"/>
          <w:szCs w:val="30"/>
        </w:rPr>
      </w:pPr>
      <w:r>
        <w:rPr>
          <w:rFonts w:hint="eastAsia" w:ascii="黑体" w:hAnsi="黑体" w:eastAsia="黑体" w:cs="黑体"/>
          <w:b/>
          <w:bCs/>
          <w:sz w:val="30"/>
          <w:szCs w:val="30"/>
        </w:rPr>
        <w:t>一、竞赛标准</w:t>
      </w:r>
    </w:p>
    <w:p>
      <w:pPr>
        <w:spacing w:line="360" w:lineRule="auto"/>
        <w:ind w:firstLine="480" w:firstLineChars="200"/>
        <w:rPr>
          <w:rFonts w:ascii="Calibri" w:hAnsi="Calibri" w:eastAsia="华文细黑"/>
          <w:sz w:val="24"/>
        </w:rPr>
      </w:pPr>
      <w:r>
        <w:rPr>
          <w:rFonts w:hint="eastAsia" w:ascii="Calibri" w:hAnsi="Calibri" w:eastAsia="华文细黑"/>
          <w:sz w:val="24"/>
        </w:rPr>
        <w:t>车工竞赛项目的技术标准是以《车工国家职业标准》高级</w:t>
      </w:r>
      <w:r>
        <w:rPr>
          <w:rFonts w:ascii="Calibri" w:hAnsi="Calibri" w:eastAsia="华文细黑"/>
          <w:sz w:val="24"/>
        </w:rPr>
        <w:t>(</w:t>
      </w:r>
      <w:r>
        <w:rPr>
          <w:rFonts w:hint="eastAsia" w:ascii="Calibri" w:hAnsi="Calibri" w:eastAsia="华文细黑"/>
          <w:sz w:val="24"/>
        </w:rPr>
        <w:t>国家职业资格三级</w:t>
      </w:r>
      <w:r>
        <w:rPr>
          <w:rFonts w:ascii="Calibri" w:hAnsi="Calibri" w:eastAsia="华文细黑"/>
          <w:sz w:val="24"/>
        </w:rPr>
        <w:t>)</w:t>
      </w:r>
      <w:r>
        <w:rPr>
          <w:rFonts w:hint="eastAsia" w:ascii="Calibri" w:hAnsi="Calibri" w:eastAsia="华文细黑"/>
          <w:sz w:val="24"/>
        </w:rPr>
        <w:t>为基础，并涵盖国家职业资格三级以下以及技师（国家职业资格二级）的部分内容。</w:t>
      </w:r>
    </w:p>
    <w:p>
      <w:pPr>
        <w:spacing w:before="156" w:beforeLines="50" w:after="156" w:afterLines="50" w:line="360" w:lineRule="auto"/>
        <w:ind w:firstLine="602" w:firstLineChars="200"/>
        <w:rPr>
          <w:rFonts w:ascii="仿宋" w:hAnsi="仿宋" w:eastAsia="仿宋"/>
          <w:b/>
          <w:bCs/>
          <w:sz w:val="28"/>
          <w:szCs w:val="28"/>
        </w:rPr>
      </w:pPr>
      <w:r>
        <w:rPr>
          <w:rFonts w:hint="eastAsia" w:ascii="黑体" w:hAnsi="黑体" w:eastAsia="黑体" w:cs="黑体"/>
          <w:b/>
          <w:bCs/>
          <w:sz w:val="30"/>
          <w:szCs w:val="30"/>
        </w:rPr>
        <w:t>二、命题原则</w:t>
      </w:r>
    </w:p>
    <w:p>
      <w:pPr>
        <w:spacing w:line="360" w:lineRule="auto"/>
        <w:ind w:firstLine="480" w:firstLineChars="200"/>
        <w:rPr>
          <w:rFonts w:ascii="Calibri" w:hAnsi="Calibri" w:eastAsia="华文细黑"/>
          <w:sz w:val="24"/>
        </w:rPr>
      </w:pPr>
      <w:r>
        <w:rPr>
          <w:rFonts w:hint="eastAsia" w:ascii="Calibri" w:hAnsi="Calibri" w:eastAsia="华文细黑"/>
          <w:sz w:val="24"/>
        </w:rPr>
        <w:t>依据《车工国家职业标准》，注重基本技能和复杂工件加工技能，注重操作过程和质量控制，注重安全生产以及职业道德和标准规范，结合生产实际，考核职业综合能力，并对技能人才培养起到示范指导作用。</w:t>
      </w:r>
    </w:p>
    <w:p>
      <w:pPr>
        <w:spacing w:before="156" w:beforeLines="50" w:after="156" w:afterLines="50" w:line="360" w:lineRule="auto"/>
        <w:ind w:firstLine="602" w:firstLineChars="200"/>
        <w:rPr>
          <w:rFonts w:ascii="黑体" w:hAnsi="黑体" w:eastAsia="黑体" w:cs="黑体"/>
          <w:b/>
          <w:bCs/>
          <w:sz w:val="30"/>
          <w:szCs w:val="30"/>
        </w:rPr>
      </w:pPr>
      <w:r>
        <w:rPr>
          <w:rFonts w:hint="eastAsia" w:ascii="黑体" w:hAnsi="黑体" w:eastAsia="黑体" w:cs="黑体"/>
          <w:b/>
          <w:bCs/>
          <w:sz w:val="30"/>
          <w:szCs w:val="30"/>
        </w:rPr>
        <w:t>三、竞赛方式、时间与成绩计算</w:t>
      </w:r>
    </w:p>
    <w:p>
      <w:pPr>
        <w:tabs>
          <w:tab w:val="left" w:pos="3240"/>
        </w:tabs>
        <w:spacing w:line="360" w:lineRule="auto"/>
        <w:ind w:firstLine="480" w:firstLineChars="200"/>
        <w:rPr>
          <w:rFonts w:ascii="仿宋" w:hAnsi="仿宋" w:eastAsia="仿宋"/>
          <w:b/>
          <w:bCs/>
          <w:sz w:val="24"/>
        </w:rPr>
      </w:pPr>
      <w:r>
        <w:rPr>
          <w:rFonts w:hint="eastAsia" w:ascii="Calibri" w:hAnsi="Calibri" w:eastAsia="华文细黑"/>
          <w:b/>
          <w:bCs/>
          <w:sz w:val="24"/>
        </w:rPr>
        <w:t>（一）竞赛方式</w:t>
      </w:r>
    </w:p>
    <w:p>
      <w:pPr>
        <w:tabs>
          <w:tab w:val="left" w:pos="540"/>
        </w:tabs>
        <w:spacing w:line="360" w:lineRule="auto"/>
        <w:ind w:firstLine="480" w:firstLineChars="200"/>
        <w:rPr>
          <w:rFonts w:ascii="仿宋" w:hAnsi="仿宋" w:eastAsia="仿宋"/>
          <w:sz w:val="24"/>
        </w:rPr>
      </w:pPr>
      <w:r>
        <w:rPr>
          <w:rFonts w:hint="eastAsia" w:ascii="Calibri" w:hAnsi="Calibri" w:eastAsia="华文细黑"/>
          <w:sz w:val="24"/>
        </w:rPr>
        <w:t>竞赛包括理论知识和实际操作竞赛两部分，实际操作竞赛部分由轴类零件测绘和组合件加工组成，均由1名选手独立完成。</w:t>
      </w:r>
    </w:p>
    <w:p>
      <w:pPr>
        <w:tabs>
          <w:tab w:val="left" w:pos="3240"/>
        </w:tabs>
        <w:spacing w:line="360" w:lineRule="auto"/>
        <w:ind w:firstLine="480" w:firstLineChars="200"/>
        <w:rPr>
          <w:rFonts w:ascii="Calibri" w:hAnsi="Calibri" w:eastAsia="华文细黑"/>
          <w:b/>
          <w:bCs/>
          <w:sz w:val="24"/>
        </w:rPr>
      </w:pPr>
      <w:r>
        <w:rPr>
          <w:rFonts w:hint="eastAsia" w:ascii="Calibri" w:hAnsi="Calibri" w:eastAsia="华文细黑"/>
          <w:b/>
          <w:bCs/>
          <w:sz w:val="24"/>
        </w:rPr>
        <w:t>（二）竞赛时间</w:t>
      </w:r>
    </w:p>
    <w:p>
      <w:pPr>
        <w:spacing w:line="360" w:lineRule="auto"/>
        <w:ind w:firstLine="480" w:firstLineChars="200"/>
        <w:rPr>
          <w:rFonts w:ascii="Calibri" w:hAnsi="Calibri" w:eastAsia="华文细黑"/>
          <w:sz w:val="24"/>
        </w:rPr>
      </w:pPr>
      <w:r>
        <w:rPr>
          <w:rFonts w:hint="eastAsia" w:ascii="Calibri" w:hAnsi="Calibri" w:eastAsia="华文细黑"/>
          <w:sz w:val="24"/>
        </w:rPr>
        <w:t>1．理论知识竞赛时间60分钟。</w:t>
      </w:r>
    </w:p>
    <w:p>
      <w:pPr>
        <w:spacing w:line="360" w:lineRule="auto"/>
        <w:ind w:firstLine="480" w:firstLineChars="200"/>
        <w:rPr>
          <w:rFonts w:ascii="Calibri" w:hAnsi="Calibri" w:eastAsia="华文细黑"/>
          <w:sz w:val="24"/>
        </w:rPr>
      </w:pPr>
      <w:r>
        <w:rPr>
          <w:rFonts w:hint="eastAsia" w:ascii="Calibri" w:hAnsi="Calibri" w:eastAsia="华文细黑"/>
          <w:sz w:val="24"/>
        </w:rPr>
        <w:t>2．实际操作竞赛总时间360分钟。其中轴类零件测绘操作比赛时间</w:t>
      </w:r>
      <w:r>
        <w:rPr>
          <w:rFonts w:ascii="Calibri" w:hAnsi="Calibri" w:eastAsia="华文细黑"/>
          <w:sz w:val="24"/>
        </w:rPr>
        <w:t>60</w:t>
      </w:r>
      <w:r>
        <w:rPr>
          <w:rFonts w:hint="eastAsia" w:ascii="Calibri" w:hAnsi="Calibri" w:eastAsia="华文细黑"/>
          <w:sz w:val="24"/>
        </w:rPr>
        <w:t>分钟，组合件加工操作比赛时间</w:t>
      </w:r>
      <w:r>
        <w:rPr>
          <w:rFonts w:ascii="Calibri" w:hAnsi="Calibri" w:eastAsia="华文细黑"/>
          <w:sz w:val="24"/>
        </w:rPr>
        <w:t>300</w:t>
      </w:r>
      <w:r>
        <w:rPr>
          <w:rFonts w:hint="eastAsia" w:ascii="Calibri" w:hAnsi="Calibri" w:eastAsia="华文细黑"/>
          <w:sz w:val="24"/>
        </w:rPr>
        <w:t>分钟。</w:t>
      </w:r>
    </w:p>
    <w:p>
      <w:pPr>
        <w:tabs>
          <w:tab w:val="left" w:pos="3240"/>
        </w:tabs>
        <w:spacing w:line="360" w:lineRule="auto"/>
        <w:ind w:firstLine="480" w:firstLineChars="200"/>
        <w:rPr>
          <w:rFonts w:ascii="仿宋" w:hAnsi="仿宋" w:eastAsia="仿宋"/>
          <w:b/>
          <w:bCs/>
          <w:sz w:val="24"/>
        </w:rPr>
      </w:pPr>
      <w:r>
        <w:rPr>
          <w:rFonts w:hint="eastAsia" w:ascii="Calibri" w:hAnsi="Calibri" w:eastAsia="华文细黑"/>
          <w:b/>
          <w:bCs/>
          <w:sz w:val="24"/>
        </w:rPr>
        <w:t>（三）成绩计算</w:t>
      </w:r>
    </w:p>
    <w:p>
      <w:pPr>
        <w:spacing w:line="360" w:lineRule="auto"/>
        <w:ind w:firstLine="480" w:firstLineChars="200"/>
        <w:rPr>
          <w:rFonts w:ascii="Calibri" w:hAnsi="Calibri" w:eastAsia="华文细黑"/>
          <w:sz w:val="24"/>
        </w:rPr>
      </w:pPr>
      <w:r>
        <w:rPr>
          <w:rFonts w:hint="eastAsia" w:ascii="Calibri" w:hAnsi="Calibri" w:eastAsia="华文细黑"/>
          <w:sz w:val="24"/>
        </w:rPr>
        <w:t>竞赛总成绩由理论知识和实际操作竞赛两部分成绩组成。竞赛总成绩作为参赛选手名次排序的依据。参赛选手总成绩相同，实际操作竞赛成绩高的选手名次在前。参赛选手总成绩和实际操作竞赛成绩均相同，实际操作组合件加工得分高的选手名次在前。参赛选手总成绩、实际操作竞赛成绩和实际操作组合件加工成绩均相同，则实际操作组合件加工用时少的选手名次在前。</w:t>
      </w:r>
    </w:p>
    <w:p>
      <w:pPr>
        <w:spacing w:line="360" w:lineRule="auto"/>
        <w:ind w:firstLine="480" w:firstLineChars="200"/>
        <w:rPr>
          <w:rFonts w:ascii="Calibri" w:hAnsi="Calibri" w:eastAsia="华文细黑"/>
          <w:sz w:val="24"/>
        </w:rPr>
      </w:pPr>
      <w:r>
        <w:rPr>
          <w:rFonts w:ascii="Calibri" w:hAnsi="Calibri" w:eastAsia="华文细黑"/>
          <w:sz w:val="24"/>
        </w:rPr>
        <w:t>1</w:t>
      </w:r>
      <w:r>
        <w:rPr>
          <w:rFonts w:hint="eastAsia" w:ascii="Calibri" w:hAnsi="Calibri" w:eastAsia="华文细黑"/>
          <w:sz w:val="24"/>
        </w:rPr>
        <w:t>．理论知识竞赛满分</w:t>
      </w:r>
      <w:r>
        <w:rPr>
          <w:rFonts w:ascii="Calibri" w:hAnsi="Calibri" w:eastAsia="华文细黑"/>
          <w:sz w:val="24"/>
        </w:rPr>
        <w:t>100</w:t>
      </w:r>
      <w:r>
        <w:rPr>
          <w:rFonts w:hint="eastAsia" w:ascii="Calibri" w:hAnsi="Calibri" w:eastAsia="华文细黑"/>
          <w:sz w:val="24"/>
        </w:rPr>
        <w:t>分，占总成绩的</w:t>
      </w:r>
      <w:r>
        <w:rPr>
          <w:rFonts w:ascii="Calibri" w:hAnsi="Calibri" w:eastAsia="华文细黑"/>
          <w:sz w:val="24"/>
        </w:rPr>
        <w:t>30</w:t>
      </w:r>
      <w:r>
        <w:rPr>
          <w:rFonts w:hint="eastAsia" w:ascii="Calibri" w:hAnsi="Calibri" w:eastAsia="华文细黑"/>
          <w:sz w:val="24"/>
        </w:rPr>
        <w:t>％（其中时事政治题占总成绩的</w:t>
      </w:r>
      <w:r>
        <w:rPr>
          <w:rFonts w:ascii="Calibri" w:hAnsi="Calibri" w:eastAsia="华文细黑"/>
          <w:sz w:val="24"/>
        </w:rPr>
        <w:t>10</w:t>
      </w:r>
      <w:r>
        <w:rPr>
          <w:rFonts w:hint="eastAsia" w:ascii="Calibri" w:hAnsi="Calibri" w:eastAsia="华文细黑"/>
          <w:sz w:val="24"/>
        </w:rPr>
        <w:t>％）。</w:t>
      </w:r>
    </w:p>
    <w:p>
      <w:pPr>
        <w:spacing w:line="360" w:lineRule="auto"/>
        <w:ind w:firstLine="480" w:firstLineChars="200"/>
        <w:rPr>
          <w:rFonts w:ascii="Calibri" w:hAnsi="Calibri" w:eastAsia="华文细黑"/>
          <w:sz w:val="24"/>
        </w:rPr>
      </w:pPr>
      <w:r>
        <w:rPr>
          <w:rFonts w:ascii="Calibri" w:hAnsi="Calibri" w:eastAsia="华文细黑"/>
          <w:sz w:val="24"/>
        </w:rPr>
        <w:t>2</w:t>
      </w:r>
      <w:r>
        <w:rPr>
          <w:rFonts w:hint="eastAsia" w:ascii="Calibri" w:hAnsi="Calibri" w:eastAsia="华文细黑"/>
          <w:sz w:val="24"/>
        </w:rPr>
        <w:t>．实际操作竞赛成绩占总成绩的</w:t>
      </w:r>
      <w:r>
        <w:rPr>
          <w:rFonts w:ascii="Calibri" w:hAnsi="Calibri" w:eastAsia="华文细黑"/>
          <w:sz w:val="24"/>
        </w:rPr>
        <w:t>70</w:t>
      </w:r>
      <w:r>
        <w:rPr>
          <w:rFonts w:hint="eastAsia" w:ascii="Calibri" w:hAnsi="Calibri" w:eastAsia="华文细黑"/>
          <w:sz w:val="24"/>
        </w:rPr>
        <w:t>％。组合件加工满分为</w:t>
      </w:r>
      <w:r>
        <w:rPr>
          <w:rFonts w:ascii="Calibri" w:hAnsi="Calibri" w:eastAsia="华文细黑"/>
          <w:sz w:val="24"/>
        </w:rPr>
        <w:t>60</w:t>
      </w:r>
      <w:r>
        <w:rPr>
          <w:rFonts w:hint="eastAsia" w:ascii="Calibri" w:hAnsi="Calibri" w:eastAsia="华文细黑"/>
          <w:sz w:val="24"/>
        </w:rPr>
        <w:t>分，轴类零件测绘满分为</w:t>
      </w:r>
      <w:r>
        <w:rPr>
          <w:rFonts w:ascii="Calibri" w:hAnsi="Calibri" w:eastAsia="华文细黑"/>
          <w:sz w:val="24"/>
        </w:rPr>
        <w:t>10</w:t>
      </w:r>
      <w:r>
        <w:rPr>
          <w:rFonts w:hint="eastAsia" w:ascii="Calibri" w:hAnsi="Calibri" w:eastAsia="华文细黑"/>
          <w:sz w:val="24"/>
        </w:rPr>
        <w:t>分。</w:t>
      </w:r>
    </w:p>
    <w:p>
      <w:pPr>
        <w:spacing w:before="156" w:beforeLines="50" w:after="156" w:afterLines="50" w:line="360" w:lineRule="auto"/>
        <w:ind w:firstLine="602" w:firstLineChars="200"/>
        <w:rPr>
          <w:rFonts w:ascii="仿宋" w:hAnsi="仿宋" w:eastAsia="仿宋"/>
          <w:b/>
          <w:bCs/>
          <w:sz w:val="28"/>
          <w:szCs w:val="28"/>
        </w:rPr>
      </w:pPr>
      <w:r>
        <w:rPr>
          <w:rFonts w:hint="eastAsia" w:ascii="黑体" w:hAnsi="黑体" w:eastAsia="黑体" w:cs="黑体"/>
          <w:b/>
          <w:bCs/>
          <w:sz w:val="30"/>
          <w:szCs w:val="30"/>
        </w:rPr>
        <w:t>四、竞赛范围、比重、类型及其它</w:t>
      </w:r>
    </w:p>
    <w:p>
      <w:pPr>
        <w:tabs>
          <w:tab w:val="left" w:pos="3240"/>
        </w:tabs>
        <w:spacing w:line="360" w:lineRule="auto"/>
        <w:ind w:firstLine="480" w:firstLineChars="200"/>
        <w:rPr>
          <w:rFonts w:ascii="Calibri" w:hAnsi="Calibri" w:eastAsia="华文细黑"/>
          <w:b/>
          <w:bCs/>
          <w:sz w:val="24"/>
        </w:rPr>
      </w:pPr>
      <w:r>
        <w:rPr>
          <w:rFonts w:hint="eastAsia" w:ascii="Calibri" w:hAnsi="Calibri" w:eastAsia="华文细黑"/>
          <w:b/>
          <w:bCs/>
          <w:sz w:val="24"/>
        </w:rPr>
        <w:t>（一）理论知识竞赛</w:t>
      </w:r>
    </w:p>
    <w:p>
      <w:pPr>
        <w:spacing w:line="360" w:lineRule="auto"/>
        <w:ind w:firstLine="480" w:firstLineChars="200"/>
        <w:rPr>
          <w:rFonts w:ascii="Calibri" w:hAnsi="Calibri" w:eastAsia="华文细黑"/>
          <w:sz w:val="24"/>
        </w:rPr>
      </w:pPr>
      <w:r>
        <w:rPr>
          <w:rFonts w:hint="eastAsia" w:ascii="Calibri" w:hAnsi="Calibri" w:eastAsia="华文细黑"/>
          <w:sz w:val="24"/>
        </w:rPr>
        <w:t>1．试题范围</w:t>
      </w:r>
    </w:p>
    <w:p>
      <w:pPr>
        <w:spacing w:line="360" w:lineRule="auto"/>
        <w:ind w:firstLine="480"/>
        <w:rPr>
          <w:rFonts w:ascii="Calibri" w:hAnsi="Calibri" w:eastAsia="华文细黑"/>
          <w:sz w:val="24"/>
        </w:rPr>
      </w:pPr>
      <w:r>
        <w:rPr>
          <w:rFonts w:hint="eastAsia" w:ascii="Calibri" w:hAnsi="Calibri" w:eastAsia="华文细黑"/>
          <w:sz w:val="24"/>
        </w:rPr>
        <w:t>理论知识竞赛以竞赛题库作为参考资料，决赛前两个月在团中央网站上公布理论知识竞赛题库（不含时事政治题），时事政治题单独命题。</w:t>
      </w:r>
    </w:p>
    <w:p>
      <w:pPr>
        <w:spacing w:line="360" w:lineRule="auto"/>
        <w:ind w:firstLine="480" w:firstLineChars="200"/>
        <w:rPr>
          <w:rFonts w:ascii="Calibri" w:hAnsi="Calibri" w:eastAsia="华文细黑"/>
          <w:sz w:val="24"/>
        </w:rPr>
      </w:pPr>
      <w:r>
        <w:rPr>
          <w:rFonts w:hint="eastAsia" w:ascii="Calibri" w:hAnsi="Calibri" w:eastAsia="华文细黑"/>
          <w:sz w:val="24"/>
        </w:rPr>
        <w:t>2．试题题型</w:t>
      </w:r>
    </w:p>
    <w:p>
      <w:pPr>
        <w:spacing w:line="360" w:lineRule="auto"/>
        <w:ind w:firstLine="480" w:firstLineChars="200"/>
        <w:rPr>
          <w:rFonts w:ascii="Calibri" w:hAnsi="Calibri" w:eastAsia="华文细黑"/>
          <w:sz w:val="24"/>
        </w:rPr>
      </w:pPr>
      <w:r>
        <w:rPr>
          <w:rFonts w:hint="eastAsia" w:ascii="Calibri" w:hAnsi="Calibri" w:eastAsia="华文细黑"/>
          <w:sz w:val="24"/>
        </w:rPr>
        <w:t>竞赛试题包括判断题、选择题与补图题三种类型。</w:t>
      </w:r>
    </w:p>
    <w:p>
      <w:pPr>
        <w:spacing w:line="360" w:lineRule="auto"/>
        <w:ind w:firstLine="480" w:firstLineChars="200"/>
        <w:rPr>
          <w:rFonts w:ascii="Calibri" w:hAnsi="Calibri" w:eastAsia="华文细黑"/>
          <w:sz w:val="24"/>
        </w:rPr>
      </w:pPr>
      <w:r>
        <w:rPr>
          <w:rFonts w:hint="eastAsia" w:ascii="Calibri" w:hAnsi="Calibri" w:eastAsia="华文细黑"/>
          <w:sz w:val="24"/>
        </w:rPr>
        <w:t>3．竞赛方式</w:t>
      </w:r>
    </w:p>
    <w:p>
      <w:pPr>
        <w:ind w:firstLine="480"/>
        <w:rPr>
          <w:rFonts w:ascii="Calibri" w:hAnsi="Calibri" w:eastAsia="华文细黑"/>
          <w:sz w:val="24"/>
        </w:rPr>
      </w:pPr>
      <w:r>
        <w:rPr>
          <w:rFonts w:hint="eastAsia" w:ascii="Calibri" w:hAnsi="Calibri" w:eastAsia="华文细黑"/>
          <w:sz w:val="24"/>
        </w:rPr>
        <w:t>理论知识竞赛采用计算机软件答题。决赛前一个月可以在大赛官网上模拟答题。</w:t>
      </w:r>
    </w:p>
    <w:p>
      <w:pPr>
        <w:tabs>
          <w:tab w:val="left" w:pos="3240"/>
        </w:tabs>
        <w:spacing w:line="360" w:lineRule="auto"/>
        <w:ind w:firstLine="480" w:firstLineChars="200"/>
        <w:rPr>
          <w:rFonts w:ascii="Calibri" w:hAnsi="Calibri" w:eastAsia="华文细黑"/>
          <w:b/>
          <w:bCs/>
          <w:sz w:val="24"/>
        </w:rPr>
      </w:pPr>
      <w:r>
        <w:rPr>
          <w:rFonts w:hint="eastAsia" w:ascii="Calibri" w:hAnsi="Calibri" w:eastAsia="华文细黑"/>
          <w:b/>
          <w:bCs/>
          <w:sz w:val="24"/>
        </w:rPr>
        <w:t>（二）实际操作竞赛</w:t>
      </w:r>
    </w:p>
    <w:p>
      <w:pPr>
        <w:spacing w:line="360" w:lineRule="auto"/>
        <w:ind w:firstLine="480" w:firstLineChars="200"/>
        <w:rPr>
          <w:rFonts w:ascii="Calibri" w:hAnsi="Calibri" w:eastAsia="华文细黑"/>
          <w:sz w:val="24"/>
        </w:rPr>
      </w:pPr>
      <w:r>
        <w:rPr>
          <w:rFonts w:ascii="Calibri" w:hAnsi="Calibri" w:eastAsia="华文细黑"/>
          <w:sz w:val="24"/>
        </w:rPr>
        <w:t>1.</w:t>
      </w:r>
      <w:r>
        <w:rPr>
          <w:rFonts w:hint="eastAsia" w:ascii="Calibri" w:hAnsi="Calibri" w:eastAsia="华文细黑"/>
          <w:sz w:val="24"/>
        </w:rPr>
        <w:t>轴类零件测绘</w:t>
      </w:r>
    </w:p>
    <w:p>
      <w:pPr>
        <w:spacing w:line="360" w:lineRule="auto"/>
        <w:ind w:firstLine="480" w:firstLineChars="200"/>
        <w:rPr>
          <w:rFonts w:ascii="Calibri" w:hAnsi="Calibri" w:eastAsia="华文细黑"/>
          <w:color w:val="FF0000"/>
          <w:sz w:val="24"/>
        </w:rPr>
      </w:pPr>
      <w:r>
        <w:rPr>
          <w:rFonts w:hint="eastAsia" w:ascii="Calibri" w:hAnsi="Calibri" w:eastAsia="华文细黑"/>
          <w:sz w:val="24"/>
        </w:rPr>
        <w:t>（</w:t>
      </w:r>
      <w:r>
        <w:rPr>
          <w:rFonts w:ascii="Calibri" w:hAnsi="Calibri" w:eastAsia="华文细黑"/>
          <w:sz w:val="24"/>
        </w:rPr>
        <w:t>1</w:t>
      </w:r>
      <w:r>
        <w:rPr>
          <w:rFonts w:hint="eastAsia" w:ascii="Calibri" w:hAnsi="Calibri" w:eastAsia="华文细黑"/>
          <w:sz w:val="24"/>
        </w:rPr>
        <w:t>）竞赛内容：依据给定的轴类零件完成测量</w:t>
      </w:r>
      <w:r>
        <w:rPr>
          <w:rFonts w:ascii="Calibri" w:hAnsi="Calibri" w:eastAsia="华文细黑"/>
          <w:sz w:val="24"/>
        </w:rPr>
        <w:t>，</w:t>
      </w:r>
      <w:r>
        <w:rPr>
          <w:rFonts w:hint="eastAsia" w:ascii="Calibri" w:hAnsi="Calibri" w:eastAsia="华文细黑"/>
          <w:sz w:val="24"/>
        </w:rPr>
        <w:t>并应用机械</w:t>
      </w:r>
      <w:r>
        <w:rPr>
          <w:rFonts w:ascii="Calibri" w:hAnsi="Calibri" w:eastAsia="华文细黑"/>
          <w:sz w:val="24"/>
        </w:rPr>
        <w:t>CAD</w:t>
      </w:r>
      <w:r>
        <w:rPr>
          <w:rFonts w:hint="eastAsia" w:ascii="Calibri" w:hAnsi="Calibri" w:eastAsia="华文细黑"/>
          <w:sz w:val="24"/>
        </w:rPr>
        <w:t>软件绘制零件图。</w:t>
      </w:r>
    </w:p>
    <w:p>
      <w:pPr>
        <w:spacing w:line="360" w:lineRule="auto"/>
        <w:ind w:firstLine="480" w:firstLineChars="200"/>
        <w:rPr>
          <w:rFonts w:ascii="Calibri" w:hAnsi="Calibri" w:eastAsia="华文细黑"/>
          <w:sz w:val="24"/>
        </w:rPr>
      </w:pPr>
      <w:r>
        <w:rPr>
          <w:rFonts w:ascii="Calibri" w:hAnsi="Calibri" w:eastAsia="华文细黑"/>
          <w:sz w:val="24"/>
        </w:rPr>
        <w:t>1</w:t>
      </w:r>
      <w:r>
        <w:rPr>
          <w:rFonts w:hint="eastAsia" w:ascii="Calibri" w:hAnsi="Calibri" w:eastAsia="华文细黑"/>
          <w:sz w:val="24"/>
        </w:rPr>
        <w:t>）根据竞赛任务要求，设置软件绘图环境；</w:t>
      </w:r>
    </w:p>
    <w:p>
      <w:pPr>
        <w:spacing w:line="360" w:lineRule="auto"/>
        <w:ind w:firstLine="480" w:firstLineChars="200"/>
        <w:rPr>
          <w:rFonts w:ascii="Calibri" w:hAnsi="Calibri" w:eastAsia="华文细黑"/>
          <w:sz w:val="24"/>
        </w:rPr>
      </w:pPr>
      <w:r>
        <w:rPr>
          <w:rFonts w:ascii="Calibri" w:hAnsi="Calibri" w:eastAsia="华文细黑"/>
          <w:sz w:val="24"/>
        </w:rPr>
        <w:t>2</w:t>
      </w:r>
      <w:r>
        <w:rPr>
          <w:rFonts w:hint="eastAsia" w:ascii="Calibri" w:hAnsi="Calibri" w:eastAsia="华文细黑"/>
          <w:sz w:val="24"/>
        </w:rPr>
        <w:t>）对零件进行测量并绘制二维工程图；</w:t>
      </w:r>
    </w:p>
    <w:p>
      <w:pPr>
        <w:spacing w:line="360" w:lineRule="auto"/>
        <w:ind w:firstLine="480" w:firstLineChars="200"/>
        <w:rPr>
          <w:rFonts w:ascii="Calibri" w:hAnsi="Calibri" w:eastAsia="华文细黑"/>
          <w:sz w:val="24"/>
        </w:rPr>
      </w:pPr>
      <w:r>
        <w:rPr>
          <w:rFonts w:ascii="Calibri" w:hAnsi="Calibri" w:eastAsia="华文细黑"/>
          <w:sz w:val="24"/>
        </w:rPr>
        <w:t>3</w:t>
      </w:r>
      <w:r>
        <w:rPr>
          <w:rFonts w:hint="eastAsia" w:ascii="Calibri" w:hAnsi="Calibri" w:eastAsia="华文细黑"/>
          <w:sz w:val="24"/>
        </w:rPr>
        <w:t>）依据竞赛任务要求</w:t>
      </w:r>
      <w:r>
        <w:rPr>
          <w:rFonts w:ascii="Calibri" w:hAnsi="Calibri" w:eastAsia="华文细黑"/>
          <w:sz w:val="24"/>
        </w:rPr>
        <w:t>，</w:t>
      </w:r>
      <w:r>
        <w:rPr>
          <w:rFonts w:hint="eastAsia" w:ascii="Calibri" w:hAnsi="Calibri" w:eastAsia="华文细黑"/>
          <w:sz w:val="24"/>
        </w:rPr>
        <w:t>标注零件尺寸及相关技术要求；</w:t>
      </w:r>
    </w:p>
    <w:p>
      <w:pPr>
        <w:spacing w:line="360" w:lineRule="auto"/>
        <w:ind w:firstLine="480" w:firstLineChars="200"/>
        <w:rPr>
          <w:rFonts w:ascii="Calibri" w:hAnsi="Calibri" w:eastAsia="华文细黑"/>
          <w:sz w:val="24"/>
        </w:rPr>
      </w:pPr>
      <w:r>
        <w:rPr>
          <w:rFonts w:ascii="Calibri" w:hAnsi="Calibri" w:eastAsia="华文细黑" w:cs="微软雅黑"/>
          <w:color w:val="000000" w:themeColor="text1"/>
          <w:sz w:val="24"/>
          <w14:textFill>
            <w14:solidFill>
              <w14:schemeClr w14:val="tx1"/>
            </w14:solidFill>
          </w14:textFill>
        </w:rPr>
        <w:t>4</w:t>
      </w:r>
      <w:r>
        <w:rPr>
          <w:rFonts w:hint="eastAsia" w:ascii="Calibri" w:hAnsi="Calibri" w:eastAsia="华文细黑" w:cs="微软雅黑"/>
          <w:color w:val="000000" w:themeColor="text1"/>
          <w:sz w:val="24"/>
          <w14:textFill>
            <w14:solidFill>
              <w14:schemeClr w14:val="tx1"/>
            </w14:solidFill>
          </w14:textFill>
        </w:rPr>
        <w:t>）利用绘图软件，将图纸打印生成为</w:t>
      </w:r>
      <w:r>
        <w:rPr>
          <w:rFonts w:ascii="Calibri" w:hAnsi="Calibri" w:eastAsia="华文细黑" w:cs="微软雅黑"/>
          <w:color w:val="000000" w:themeColor="text1"/>
          <w:sz w:val="24"/>
          <w14:textFill>
            <w14:solidFill>
              <w14:schemeClr w14:val="tx1"/>
            </w14:solidFill>
          </w14:textFill>
        </w:rPr>
        <w:t>PDF</w:t>
      </w:r>
      <w:r>
        <w:rPr>
          <w:rFonts w:hint="eastAsia" w:ascii="Calibri" w:hAnsi="Calibri" w:eastAsia="华文细黑" w:cs="微软雅黑"/>
          <w:color w:val="000000" w:themeColor="text1"/>
          <w:sz w:val="24"/>
          <w14:textFill>
            <w14:solidFill>
              <w14:schemeClr w14:val="tx1"/>
            </w14:solidFill>
          </w14:textFill>
        </w:rPr>
        <w:t>格式</w:t>
      </w:r>
      <w:r>
        <w:rPr>
          <w:rFonts w:hint="eastAsia" w:ascii="Calibri" w:hAnsi="Calibri" w:eastAsia="华文细黑"/>
          <w:sz w:val="24"/>
        </w:rPr>
        <w:t>。</w:t>
      </w:r>
    </w:p>
    <w:p>
      <w:pPr>
        <w:spacing w:line="360" w:lineRule="auto"/>
        <w:ind w:firstLine="480" w:firstLineChars="200"/>
        <w:rPr>
          <w:rFonts w:ascii="Calibri" w:hAnsi="Calibri" w:eastAsia="华文细黑"/>
          <w:sz w:val="24"/>
        </w:rPr>
      </w:pPr>
      <w:r>
        <w:rPr>
          <w:rFonts w:hint="eastAsia" w:ascii="Calibri" w:hAnsi="Calibri" w:eastAsia="华文细黑"/>
          <w:sz w:val="24"/>
        </w:rPr>
        <w:t>（</w:t>
      </w:r>
      <w:r>
        <w:rPr>
          <w:rFonts w:ascii="Calibri" w:hAnsi="Calibri" w:eastAsia="华文细黑"/>
          <w:sz w:val="24"/>
        </w:rPr>
        <w:t>2</w:t>
      </w:r>
      <w:r>
        <w:rPr>
          <w:rFonts w:hint="eastAsia" w:ascii="Calibri" w:hAnsi="Calibri" w:eastAsia="华文细黑"/>
          <w:sz w:val="24"/>
        </w:rPr>
        <w:t>）评分说明：</w:t>
      </w:r>
    </w:p>
    <w:p>
      <w:pPr>
        <w:spacing w:line="360" w:lineRule="auto"/>
        <w:ind w:firstLine="480" w:firstLineChars="200"/>
        <w:rPr>
          <w:rFonts w:ascii="Calibri" w:hAnsi="Calibri" w:eastAsia="华文细黑"/>
          <w:sz w:val="24"/>
        </w:rPr>
      </w:pPr>
      <w:r>
        <w:rPr>
          <w:rFonts w:hint="eastAsia" w:ascii="Calibri" w:hAnsi="Calibri" w:eastAsia="华文细黑"/>
          <w:sz w:val="24"/>
        </w:rPr>
        <w:t>各项考核内容及配分比例如下：</w:t>
      </w:r>
    </w:p>
    <w:p>
      <w:pPr>
        <w:spacing w:line="360" w:lineRule="auto"/>
        <w:ind w:firstLine="480" w:firstLineChars="200"/>
        <w:rPr>
          <w:rFonts w:ascii="Calibri" w:hAnsi="Calibri" w:eastAsia="华文细黑"/>
          <w:sz w:val="24"/>
        </w:rPr>
      </w:pPr>
      <w:r>
        <w:rPr>
          <w:rFonts w:ascii="Calibri" w:hAnsi="Calibri" w:eastAsia="华文细黑"/>
          <w:sz w:val="24"/>
        </w:rPr>
        <w:t>1</w:t>
      </w:r>
      <w:r>
        <w:rPr>
          <w:rFonts w:hint="eastAsia" w:ascii="Calibri" w:hAnsi="Calibri" w:eastAsia="华文细黑"/>
          <w:sz w:val="24"/>
        </w:rPr>
        <w:t>）正确设置图层、图幅、标题栏及文字样式等；（</w:t>
      </w:r>
      <w:r>
        <w:rPr>
          <w:rFonts w:ascii="Calibri" w:hAnsi="Calibri" w:eastAsia="华文细黑"/>
          <w:sz w:val="24"/>
        </w:rPr>
        <w:t>1</w:t>
      </w:r>
      <w:r>
        <w:rPr>
          <w:rFonts w:hint="eastAsia" w:ascii="Calibri" w:hAnsi="Calibri" w:eastAsia="华文细黑"/>
          <w:sz w:val="24"/>
        </w:rPr>
        <w:t>分）</w:t>
      </w:r>
    </w:p>
    <w:p>
      <w:pPr>
        <w:spacing w:line="360" w:lineRule="auto"/>
        <w:ind w:firstLine="480" w:firstLineChars="200"/>
        <w:rPr>
          <w:rFonts w:ascii="Calibri" w:hAnsi="Calibri" w:eastAsia="华文细黑"/>
          <w:sz w:val="24"/>
        </w:rPr>
      </w:pPr>
      <w:r>
        <w:rPr>
          <w:rFonts w:ascii="Calibri" w:hAnsi="Calibri" w:eastAsia="华文细黑"/>
          <w:sz w:val="24"/>
        </w:rPr>
        <w:t>2</w:t>
      </w:r>
      <w:r>
        <w:rPr>
          <w:rFonts w:hint="eastAsia" w:ascii="Calibri" w:hAnsi="Calibri" w:eastAsia="华文细黑"/>
          <w:sz w:val="24"/>
        </w:rPr>
        <w:t>）</w:t>
      </w:r>
      <w:r>
        <w:rPr>
          <w:rFonts w:ascii="Calibri" w:hAnsi="Calibri" w:eastAsia="华文细黑"/>
          <w:sz w:val="24"/>
        </w:rPr>
        <w:t>CAD</w:t>
      </w:r>
      <w:r>
        <w:rPr>
          <w:rFonts w:hint="eastAsia" w:ascii="Calibri" w:hAnsi="Calibri" w:eastAsia="华文细黑"/>
          <w:sz w:val="24"/>
        </w:rPr>
        <w:t>绘图，选择适当绘图比例，构建合理表达方案及视图布局；（</w:t>
      </w:r>
      <w:r>
        <w:rPr>
          <w:rFonts w:ascii="Calibri" w:hAnsi="Calibri" w:eastAsia="华文细黑"/>
          <w:sz w:val="24"/>
        </w:rPr>
        <w:t>3</w:t>
      </w:r>
      <w:r>
        <w:rPr>
          <w:rFonts w:hint="eastAsia" w:ascii="Calibri" w:hAnsi="Calibri" w:eastAsia="华文细黑"/>
          <w:sz w:val="24"/>
        </w:rPr>
        <w:t>分）</w:t>
      </w:r>
    </w:p>
    <w:p>
      <w:pPr>
        <w:spacing w:line="360" w:lineRule="auto"/>
        <w:ind w:firstLine="480" w:firstLineChars="200"/>
        <w:rPr>
          <w:rFonts w:ascii="Calibri" w:hAnsi="Calibri" w:eastAsia="华文细黑"/>
          <w:sz w:val="24"/>
        </w:rPr>
      </w:pPr>
      <w:r>
        <w:rPr>
          <w:rFonts w:ascii="Calibri" w:hAnsi="Calibri" w:eastAsia="华文细黑"/>
          <w:sz w:val="24"/>
        </w:rPr>
        <w:t>3</w:t>
      </w:r>
      <w:r>
        <w:rPr>
          <w:rFonts w:hint="eastAsia" w:ascii="Calibri" w:hAnsi="Calibri" w:eastAsia="华文细黑"/>
          <w:sz w:val="24"/>
        </w:rPr>
        <w:t>）正确并完整标注尺寸精度、几何公差、表面粗糙度等相关技术要求；（</w:t>
      </w:r>
      <w:r>
        <w:rPr>
          <w:rFonts w:ascii="Calibri" w:hAnsi="Calibri" w:eastAsia="华文细黑"/>
          <w:sz w:val="24"/>
        </w:rPr>
        <w:t>5.5</w:t>
      </w:r>
      <w:r>
        <w:rPr>
          <w:rFonts w:hint="eastAsia" w:ascii="Calibri" w:hAnsi="Calibri" w:eastAsia="华文细黑"/>
          <w:sz w:val="24"/>
        </w:rPr>
        <w:t>分）</w:t>
      </w:r>
    </w:p>
    <w:p>
      <w:pPr>
        <w:spacing w:line="360" w:lineRule="auto"/>
        <w:ind w:firstLine="480" w:firstLineChars="200"/>
        <w:rPr>
          <w:rFonts w:ascii="Calibri" w:hAnsi="Calibri" w:eastAsia="华文细黑"/>
          <w:sz w:val="24"/>
        </w:rPr>
      </w:pPr>
      <w:r>
        <w:rPr>
          <w:rFonts w:ascii="Calibri" w:hAnsi="Calibri" w:eastAsia="华文细黑"/>
          <w:sz w:val="24"/>
        </w:rPr>
        <w:t>4</w:t>
      </w:r>
      <w:r>
        <w:rPr>
          <w:rFonts w:hint="eastAsia" w:ascii="Calibri" w:hAnsi="Calibri" w:eastAsia="华文细黑"/>
          <w:sz w:val="24"/>
        </w:rPr>
        <w:t>）完成虚拟打印。（</w:t>
      </w:r>
      <w:r>
        <w:rPr>
          <w:rFonts w:ascii="Calibri" w:hAnsi="Calibri" w:eastAsia="华文细黑"/>
          <w:sz w:val="24"/>
        </w:rPr>
        <w:t>0.5</w:t>
      </w:r>
      <w:r>
        <w:rPr>
          <w:rFonts w:hint="eastAsia" w:ascii="Calibri" w:hAnsi="Calibri" w:eastAsia="华文细黑"/>
          <w:sz w:val="24"/>
        </w:rPr>
        <w:t>分）</w:t>
      </w:r>
    </w:p>
    <w:p>
      <w:pPr>
        <w:spacing w:line="360" w:lineRule="auto"/>
        <w:ind w:firstLine="480" w:firstLineChars="200"/>
        <w:rPr>
          <w:rFonts w:ascii="Calibri" w:hAnsi="Calibri" w:eastAsia="华文细黑"/>
          <w:sz w:val="24"/>
        </w:rPr>
      </w:pPr>
      <w:r>
        <w:rPr>
          <w:rFonts w:hint="eastAsia" w:ascii="Calibri" w:hAnsi="Calibri" w:eastAsia="华文细黑"/>
          <w:sz w:val="24"/>
        </w:rPr>
        <w:t>（</w:t>
      </w:r>
      <w:r>
        <w:rPr>
          <w:rFonts w:ascii="Calibri" w:hAnsi="Calibri" w:eastAsia="华文细黑"/>
          <w:sz w:val="24"/>
        </w:rPr>
        <w:t>3</w:t>
      </w:r>
      <w:r>
        <w:rPr>
          <w:rFonts w:hint="eastAsia" w:ascii="Calibri" w:hAnsi="Calibri" w:eastAsia="华文细黑"/>
          <w:sz w:val="24"/>
        </w:rPr>
        <w:t>）轴类零件测绘赛项赛场准备：</w:t>
      </w:r>
      <w:r>
        <w:rPr>
          <w:rFonts w:ascii="Calibri" w:hAnsi="Calibri" w:eastAsia="华文细黑"/>
          <w:sz w:val="24"/>
        </w:rPr>
        <w:tab/>
      </w:r>
    </w:p>
    <w:p>
      <w:pPr>
        <w:spacing w:line="360" w:lineRule="auto"/>
        <w:ind w:firstLine="480" w:firstLineChars="200"/>
        <w:rPr>
          <w:rFonts w:ascii="Calibri" w:hAnsi="Calibri" w:eastAsia="华文细黑"/>
          <w:sz w:val="24"/>
        </w:rPr>
      </w:pPr>
      <w:r>
        <w:rPr>
          <w:rFonts w:ascii="Calibri" w:hAnsi="Calibri" w:eastAsia="华文细黑"/>
          <w:sz w:val="24"/>
        </w:rPr>
        <w:t>1</w:t>
      </w:r>
      <w:r>
        <w:rPr>
          <w:rFonts w:hint="eastAsia" w:ascii="Calibri" w:hAnsi="Calibri" w:eastAsia="华文细黑"/>
          <w:sz w:val="24"/>
        </w:rPr>
        <w:t>）赛场为每位参赛选手配备</w:t>
      </w:r>
      <w:r>
        <w:rPr>
          <w:rFonts w:ascii="Calibri" w:hAnsi="Calibri" w:eastAsia="华文细黑"/>
          <w:sz w:val="24"/>
        </w:rPr>
        <w:t>YR-LC-2F</w:t>
      </w:r>
      <w:r>
        <w:rPr>
          <w:rFonts w:hint="eastAsia" w:ascii="Calibri" w:hAnsi="Calibri" w:eastAsia="华文细黑"/>
          <w:sz w:val="24"/>
        </w:rPr>
        <w:t>型智慧化零部件测绘实训平台</w:t>
      </w:r>
      <w:r>
        <w:rPr>
          <w:rFonts w:ascii="Calibri" w:hAnsi="Calibri" w:eastAsia="华文细黑"/>
          <w:sz w:val="24"/>
        </w:rPr>
        <w:t>1</w:t>
      </w:r>
      <w:r>
        <w:rPr>
          <w:rFonts w:hint="eastAsia" w:ascii="Calibri" w:hAnsi="Calibri" w:eastAsia="华文细黑"/>
          <w:sz w:val="24"/>
        </w:rPr>
        <w:t>套</w:t>
      </w:r>
      <w:r>
        <w:rPr>
          <w:rFonts w:ascii="Calibri" w:hAnsi="Calibri" w:eastAsia="华文细黑"/>
          <w:sz w:val="24"/>
        </w:rPr>
        <w:t>（</w:t>
      </w:r>
      <w:r>
        <w:rPr>
          <w:rFonts w:hint="eastAsia" w:ascii="Calibri" w:hAnsi="Calibri" w:eastAsia="华文细黑"/>
          <w:sz w:val="24"/>
        </w:rPr>
        <w:t>包含</w:t>
      </w:r>
      <w:r>
        <w:rPr>
          <w:rFonts w:ascii="Calibri" w:hAnsi="Calibri" w:eastAsia="华文细黑"/>
          <w:sz w:val="24"/>
        </w:rPr>
        <w:t>：</w:t>
      </w:r>
      <w:r>
        <w:rPr>
          <w:rFonts w:hint="eastAsia" w:ascii="Calibri" w:hAnsi="Calibri" w:eastAsia="华文细黑"/>
          <w:sz w:val="24"/>
        </w:rPr>
        <w:t>绘图电脑</w:t>
      </w:r>
      <w:r>
        <w:rPr>
          <w:rFonts w:ascii="Calibri" w:hAnsi="Calibri" w:eastAsia="华文细黑"/>
          <w:sz w:val="24"/>
        </w:rPr>
        <w:t>1</w:t>
      </w:r>
      <w:r>
        <w:rPr>
          <w:rFonts w:hint="eastAsia" w:ascii="Calibri" w:hAnsi="Calibri" w:eastAsia="华文细黑"/>
          <w:sz w:val="24"/>
        </w:rPr>
        <w:t>台</w:t>
      </w:r>
      <w:r>
        <w:rPr>
          <w:rFonts w:ascii="Calibri" w:hAnsi="Calibri" w:eastAsia="华文细黑"/>
          <w:sz w:val="24"/>
        </w:rPr>
        <w:t>、</w:t>
      </w:r>
      <w:r>
        <w:rPr>
          <w:rFonts w:hint="eastAsia" w:ascii="Calibri" w:hAnsi="Calibri" w:eastAsia="华文细黑"/>
          <w:sz w:val="24"/>
        </w:rPr>
        <w:t>同步显示器</w:t>
      </w:r>
      <w:r>
        <w:rPr>
          <w:rFonts w:ascii="Calibri" w:hAnsi="Calibri" w:eastAsia="华文细黑"/>
          <w:sz w:val="24"/>
        </w:rPr>
        <w:t>1</w:t>
      </w:r>
      <w:r>
        <w:rPr>
          <w:rFonts w:hint="eastAsia" w:ascii="Calibri" w:hAnsi="Calibri" w:eastAsia="华文细黑"/>
          <w:sz w:val="24"/>
        </w:rPr>
        <w:t>台</w:t>
      </w:r>
      <w:r>
        <w:rPr>
          <w:rFonts w:ascii="Calibri" w:hAnsi="Calibri" w:eastAsia="华文细黑"/>
          <w:sz w:val="24"/>
        </w:rPr>
        <w:t xml:space="preserve">、YR-CL-201 </w:t>
      </w:r>
      <w:r>
        <w:rPr>
          <w:rFonts w:hint="eastAsia" w:ascii="Calibri" w:hAnsi="Calibri" w:eastAsia="华文细黑"/>
          <w:sz w:val="24"/>
        </w:rPr>
        <w:t>《零部件测量》实测装置</w:t>
      </w:r>
      <w:r>
        <w:rPr>
          <w:rFonts w:ascii="Calibri" w:hAnsi="Calibri" w:eastAsia="华文细黑"/>
          <w:sz w:val="24"/>
        </w:rPr>
        <w:t>1</w:t>
      </w:r>
      <w:r>
        <w:rPr>
          <w:rFonts w:hint="eastAsia" w:ascii="Calibri" w:hAnsi="Calibri" w:eastAsia="华文细黑"/>
          <w:sz w:val="24"/>
        </w:rPr>
        <w:t>套</w:t>
      </w:r>
      <w:r>
        <w:rPr>
          <w:rFonts w:ascii="Calibri" w:hAnsi="Calibri" w:eastAsia="华文细黑"/>
          <w:sz w:val="24"/>
        </w:rPr>
        <w:t>（</w:t>
      </w:r>
      <w:r>
        <w:rPr>
          <w:rFonts w:hint="eastAsia" w:ascii="Calibri" w:hAnsi="Calibri" w:eastAsia="华文细黑"/>
          <w:sz w:val="24"/>
        </w:rPr>
        <w:t>相关参数详见表</w:t>
      </w:r>
      <w:r>
        <w:rPr>
          <w:rFonts w:ascii="Calibri" w:hAnsi="Calibri" w:eastAsia="华文细黑"/>
          <w:sz w:val="24"/>
        </w:rPr>
        <w:t>1），</w:t>
      </w:r>
      <w:r>
        <w:rPr>
          <w:rFonts w:hint="eastAsia" w:ascii="Calibri" w:hAnsi="Calibri" w:eastAsia="华文细黑"/>
          <w:sz w:val="24"/>
        </w:rPr>
        <w:t>中望机械</w:t>
      </w:r>
      <w:r>
        <w:rPr>
          <w:rFonts w:ascii="Calibri" w:hAnsi="Calibri" w:eastAsia="华文细黑"/>
          <w:sz w:val="24"/>
        </w:rPr>
        <w:t>CAD</w:t>
      </w:r>
      <w:r>
        <w:rPr>
          <w:rFonts w:hint="eastAsia" w:ascii="Calibri" w:hAnsi="Calibri" w:eastAsia="华文细黑"/>
          <w:sz w:val="24"/>
        </w:rPr>
        <w:t>软件</w:t>
      </w:r>
      <w:r>
        <w:rPr>
          <w:rFonts w:ascii="Calibri" w:hAnsi="Calibri" w:eastAsia="华文细黑"/>
          <w:sz w:val="24"/>
        </w:rPr>
        <w:t>V2021 2</w:t>
      </w:r>
      <w:r>
        <w:rPr>
          <w:rFonts w:hint="eastAsia" w:ascii="Calibri" w:hAnsi="Calibri" w:eastAsia="华文细黑"/>
          <w:sz w:val="24"/>
        </w:rPr>
        <w:t>节点</w:t>
      </w:r>
      <w:r>
        <w:rPr>
          <w:rFonts w:ascii="Calibri" w:hAnsi="Calibri" w:eastAsia="华文细黑"/>
          <w:sz w:val="24"/>
        </w:rPr>
        <w:t>）</w:t>
      </w:r>
    </w:p>
    <w:p>
      <w:pPr>
        <w:spacing w:line="360" w:lineRule="auto"/>
        <w:ind w:firstLine="480" w:firstLineChars="200"/>
        <w:rPr>
          <w:rFonts w:ascii="Calibri" w:hAnsi="Calibri" w:eastAsia="华文细黑"/>
          <w:sz w:val="24"/>
        </w:rPr>
      </w:pPr>
      <w:r>
        <w:rPr>
          <w:rFonts w:hint="eastAsia" w:ascii="Calibri" w:hAnsi="Calibri" w:eastAsia="华文细黑"/>
          <w:sz w:val="24"/>
        </w:rPr>
        <w:t>2</w:t>
      </w:r>
      <w:r>
        <w:rPr>
          <w:rFonts w:ascii="Calibri" w:hAnsi="Calibri" w:eastAsia="华文细黑"/>
          <w:sz w:val="24"/>
        </w:rPr>
        <w:t>）</w:t>
      </w:r>
      <w:r>
        <w:rPr>
          <w:rFonts w:hint="eastAsia" w:ascii="Calibri" w:hAnsi="Calibri" w:eastAsia="华文细黑"/>
          <w:sz w:val="24"/>
        </w:rPr>
        <w:t>现场提供</w:t>
      </w:r>
      <w:r>
        <w:rPr>
          <w:rFonts w:ascii="Calibri" w:hAnsi="Calibri" w:eastAsia="华文细黑"/>
          <w:sz w:val="24"/>
        </w:rPr>
        <w:t>2</w:t>
      </w:r>
      <w:r>
        <w:rPr>
          <w:rFonts w:hint="eastAsia" w:ascii="Calibri" w:hAnsi="Calibri" w:eastAsia="华文细黑"/>
          <w:sz w:val="24"/>
        </w:rPr>
        <w:t>台图纸打印机及</w:t>
      </w:r>
      <w:r>
        <w:rPr>
          <w:rFonts w:ascii="Calibri" w:hAnsi="Calibri" w:eastAsia="华文细黑"/>
          <w:sz w:val="24"/>
        </w:rPr>
        <w:t>A4</w:t>
      </w:r>
      <w:r>
        <w:rPr>
          <w:rFonts w:hint="eastAsia" w:ascii="Calibri" w:hAnsi="Calibri" w:eastAsia="华文细黑"/>
          <w:sz w:val="24"/>
        </w:rPr>
        <w:t>纸若干。</w:t>
      </w:r>
    </w:p>
    <w:p>
      <w:pPr>
        <w:spacing w:line="360" w:lineRule="auto"/>
        <w:ind w:firstLine="480" w:firstLineChars="200"/>
        <w:rPr>
          <w:rFonts w:ascii="Calibri" w:hAnsi="Calibri" w:eastAsia="华文细黑"/>
          <w:sz w:val="24"/>
        </w:rPr>
      </w:pPr>
      <w:r>
        <w:rPr>
          <w:rFonts w:ascii="Calibri" w:hAnsi="Calibri" w:eastAsia="华文细黑"/>
          <w:sz w:val="24"/>
        </w:rPr>
        <w:t>3</w:t>
      </w:r>
      <w:r>
        <w:rPr>
          <w:rFonts w:hint="eastAsia" w:ascii="Calibri" w:hAnsi="Calibri" w:eastAsia="华文细黑"/>
          <w:sz w:val="24"/>
        </w:rPr>
        <w:t>）每位选手仅限携带一本机械设计手册。</w:t>
      </w:r>
    </w:p>
    <w:p>
      <w:pPr>
        <w:spacing w:line="360" w:lineRule="auto"/>
        <w:ind w:firstLine="480" w:firstLineChars="200"/>
        <w:jc w:val="center"/>
        <w:rPr>
          <w:rFonts w:ascii="Calibri" w:hAnsi="Calibri" w:eastAsia="华文细黑"/>
          <w:b/>
          <w:sz w:val="24"/>
        </w:rPr>
      </w:pPr>
      <w:r>
        <w:rPr>
          <w:rFonts w:hint="eastAsia" w:ascii="Calibri" w:hAnsi="Calibri" w:eastAsia="华文细黑"/>
          <w:b/>
          <w:sz w:val="24"/>
        </w:rPr>
        <w:t>表1. 工</w:t>
      </w:r>
      <w:r>
        <w:rPr>
          <w:rFonts w:ascii="Calibri" w:hAnsi="Calibri" w:eastAsia="华文细黑"/>
          <w:b/>
          <w:sz w:val="24"/>
        </w:rPr>
        <w:t>、</w:t>
      </w:r>
      <w:r>
        <w:rPr>
          <w:rFonts w:hint="eastAsia" w:ascii="Calibri" w:hAnsi="Calibri" w:eastAsia="华文细黑"/>
          <w:b/>
          <w:sz w:val="24"/>
        </w:rPr>
        <w:t>量、辅具清单</w:t>
      </w:r>
    </w:p>
    <w:tbl>
      <w:tblPr>
        <w:tblStyle w:val="13"/>
        <w:tblW w:w="80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782"/>
        <w:gridCol w:w="1701"/>
        <w:gridCol w:w="1362"/>
        <w:gridCol w:w="1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615" w:type="dxa"/>
            <w:vAlign w:val="center"/>
          </w:tcPr>
          <w:p>
            <w:pPr>
              <w:jc w:val="center"/>
              <w:rPr>
                <w:rFonts w:ascii="华文细黑" w:hAnsi="华文细黑" w:eastAsia="华文细黑"/>
                <w:b/>
                <w:szCs w:val="21"/>
              </w:rPr>
            </w:pPr>
            <w:r>
              <w:rPr>
                <w:rFonts w:hint="eastAsia" w:ascii="华文细黑" w:hAnsi="华文细黑" w:eastAsia="华文细黑"/>
                <w:b/>
                <w:szCs w:val="21"/>
              </w:rPr>
              <w:t>序号</w:t>
            </w:r>
          </w:p>
        </w:tc>
        <w:tc>
          <w:tcPr>
            <w:tcW w:w="1782" w:type="dxa"/>
            <w:vAlign w:val="center"/>
          </w:tcPr>
          <w:p>
            <w:pPr>
              <w:jc w:val="center"/>
              <w:rPr>
                <w:rFonts w:ascii="华文细黑" w:hAnsi="华文细黑" w:eastAsia="华文细黑"/>
                <w:b/>
                <w:szCs w:val="21"/>
              </w:rPr>
            </w:pPr>
            <w:r>
              <w:rPr>
                <w:rFonts w:hint="eastAsia" w:ascii="华文细黑" w:hAnsi="华文细黑" w:eastAsia="华文细黑"/>
                <w:b/>
                <w:szCs w:val="21"/>
              </w:rPr>
              <w:t>名   称</w:t>
            </w:r>
          </w:p>
        </w:tc>
        <w:tc>
          <w:tcPr>
            <w:tcW w:w="1701" w:type="dxa"/>
            <w:vAlign w:val="center"/>
          </w:tcPr>
          <w:p>
            <w:pPr>
              <w:jc w:val="center"/>
              <w:rPr>
                <w:rFonts w:ascii="华文细黑" w:hAnsi="华文细黑" w:eastAsia="华文细黑"/>
                <w:b/>
                <w:szCs w:val="21"/>
              </w:rPr>
            </w:pPr>
            <w:r>
              <w:rPr>
                <w:rFonts w:hint="eastAsia" w:ascii="华文细黑" w:hAnsi="华文细黑" w:eastAsia="华文细黑"/>
                <w:b/>
                <w:szCs w:val="21"/>
              </w:rPr>
              <w:t>规  格</w:t>
            </w:r>
          </w:p>
        </w:tc>
        <w:tc>
          <w:tcPr>
            <w:tcW w:w="1362" w:type="dxa"/>
            <w:vAlign w:val="center"/>
          </w:tcPr>
          <w:p>
            <w:pPr>
              <w:jc w:val="center"/>
              <w:rPr>
                <w:rFonts w:ascii="华文细黑" w:hAnsi="华文细黑" w:eastAsia="华文细黑"/>
                <w:b/>
                <w:szCs w:val="21"/>
              </w:rPr>
            </w:pPr>
            <w:r>
              <w:rPr>
                <w:rFonts w:hint="eastAsia" w:ascii="华文细黑" w:hAnsi="华文细黑" w:eastAsia="华文细黑"/>
                <w:b/>
                <w:szCs w:val="21"/>
              </w:rPr>
              <w:t>数量</w:t>
            </w:r>
          </w:p>
        </w:tc>
        <w:tc>
          <w:tcPr>
            <w:tcW w:w="1615" w:type="dxa"/>
            <w:vAlign w:val="center"/>
          </w:tcPr>
          <w:p>
            <w:pPr>
              <w:jc w:val="center"/>
              <w:rPr>
                <w:rFonts w:ascii="华文细黑" w:hAnsi="华文细黑" w:eastAsia="华文细黑"/>
                <w:b/>
                <w:szCs w:val="21"/>
              </w:rPr>
            </w:pPr>
            <w:r>
              <w:rPr>
                <w:rFonts w:hint="eastAsia" w:ascii="华文细黑" w:hAnsi="华文细黑" w:eastAsia="华文细黑"/>
                <w:b/>
                <w:szCs w:val="21"/>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1</w:t>
            </w:r>
          </w:p>
        </w:tc>
        <w:tc>
          <w:tcPr>
            <w:tcW w:w="178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游标卡尺</w:t>
            </w:r>
          </w:p>
        </w:tc>
        <w:tc>
          <w:tcPr>
            <w:tcW w:w="1701"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0～150</w:t>
            </w:r>
          </w:p>
        </w:tc>
        <w:tc>
          <w:tcPr>
            <w:tcW w:w="136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1</w:t>
            </w:r>
          </w:p>
        </w:tc>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2</w:t>
            </w:r>
          </w:p>
        </w:tc>
        <w:tc>
          <w:tcPr>
            <w:tcW w:w="178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深度游标卡尺</w:t>
            </w:r>
          </w:p>
        </w:tc>
        <w:tc>
          <w:tcPr>
            <w:tcW w:w="1701"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0～</w:t>
            </w:r>
            <w:r>
              <w:rPr>
                <w:rFonts w:ascii="微软雅黑" w:hAnsi="微软雅黑" w:eastAsia="微软雅黑" w:cs="微软雅黑"/>
                <w:color w:val="000000" w:themeColor="text1"/>
                <w:sz w:val="24"/>
                <w14:textFill>
                  <w14:solidFill>
                    <w14:schemeClr w14:val="tx1"/>
                  </w14:solidFill>
                </w14:textFill>
              </w:rPr>
              <w:t>200</w:t>
            </w:r>
          </w:p>
        </w:tc>
        <w:tc>
          <w:tcPr>
            <w:tcW w:w="136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1</w:t>
            </w:r>
          </w:p>
        </w:tc>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3</w:t>
            </w:r>
          </w:p>
        </w:tc>
        <w:tc>
          <w:tcPr>
            <w:tcW w:w="178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钢直尺</w:t>
            </w:r>
          </w:p>
        </w:tc>
        <w:tc>
          <w:tcPr>
            <w:tcW w:w="1701"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0-300</w:t>
            </w:r>
          </w:p>
        </w:tc>
        <w:tc>
          <w:tcPr>
            <w:tcW w:w="136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1</w:t>
            </w:r>
          </w:p>
        </w:tc>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4</w:t>
            </w:r>
          </w:p>
        </w:tc>
        <w:tc>
          <w:tcPr>
            <w:tcW w:w="178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外径千分尺</w:t>
            </w:r>
          </w:p>
        </w:tc>
        <w:tc>
          <w:tcPr>
            <w:tcW w:w="1701"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0-</w:t>
            </w:r>
            <w:r>
              <w:rPr>
                <w:rFonts w:ascii="微软雅黑" w:hAnsi="微软雅黑" w:eastAsia="微软雅黑" w:cs="微软雅黑"/>
                <w:color w:val="000000" w:themeColor="text1"/>
                <w:sz w:val="24"/>
                <w14:textFill>
                  <w14:solidFill>
                    <w14:schemeClr w14:val="tx1"/>
                  </w14:solidFill>
                </w14:textFill>
              </w:rPr>
              <w:t>2</w:t>
            </w:r>
            <w:r>
              <w:rPr>
                <w:rFonts w:hint="eastAsia" w:ascii="微软雅黑" w:hAnsi="微软雅黑" w:eastAsia="微软雅黑" w:cs="微软雅黑"/>
                <w:color w:val="000000" w:themeColor="text1"/>
                <w:sz w:val="24"/>
                <w14:textFill>
                  <w14:solidFill>
                    <w14:schemeClr w14:val="tx1"/>
                  </w14:solidFill>
                </w14:textFill>
              </w:rPr>
              <w:t>5</w:t>
            </w:r>
          </w:p>
        </w:tc>
        <w:tc>
          <w:tcPr>
            <w:tcW w:w="136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1</w:t>
            </w:r>
          </w:p>
        </w:tc>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5</w:t>
            </w:r>
          </w:p>
        </w:tc>
        <w:tc>
          <w:tcPr>
            <w:tcW w:w="178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外径千分尺</w:t>
            </w:r>
          </w:p>
        </w:tc>
        <w:tc>
          <w:tcPr>
            <w:tcW w:w="1701"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ascii="微软雅黑" w:hAnsi="微软雅黑" w:eastAsia="微软雅黑" w:cs="微软雅黑"/>
                <w:color w:val="000000" w:themeColor="text1"/>
                <w:sz w:val="24"/>
                <w14:textFill>
                  <w14:solidFill>
                    <w14:schemeClr w14:val="tx1"/>
                  </w14:solidFill>
                </w14:textFill>
              </w:rPr>
              <w:t>25</w:t>
            </w:r>
            <w:r>
              <w:rPr>
                <w:rFonts w:hint="eastAsia" w:ascii="微软雅黑" w:hAnsi="微软雅黑" w:eastAsia="微软雅黑" w:cs="微软雅黑"/>
                <w:color w:val="000000" w:themeColor="text1"/>
                <w:sz w:val="24"/>
                <w14:textFill>
                  <w14:solidFill>
                    <w14:schemeClr w14:val="tx1"/>
                  </w14:solidFill>
                </w14:textFill>
              </w:rPr>
              <w:t>-</w:t>
            </w:r>
            <w:r>
              <w:rPr>
                <w:rFonts w:ascii="微软雅黑" w:hAnsi="微软雅黑" w:eastAsia="微软雅黑" w:cs="微软雅黑"/>
                <w:color w:val="000000" w:themeColor="text1"/>
                <w:sz w:val="24"/>
                <w14:textFill>
                  <w14:solidFill>
                    <w14:schemeClr w14:val="tx1"/>
                  </w14:solidFill>
                </w14:textFill>
              </w:rPr>
              <w:t>50</w:t>
            </w:r>
          </w:p>
        </w:tc>
        <w:tc>
          <w:tcPr>
            <w:tcW w:w="136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1</w:t>
            </w:r>
          </w:p>
        </w:tc>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6</w:t>
            </w:r>
          </w:p>
        </w:tc>
        <w:tc>
          <w:tcPr>
            <w:tcW w:w="178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轴类零件</w:t>
            </w:r>
          </w:p>
        </w:tc>
        <w:tc>
          <w:tcPr>
            <w:tcW w:w="1701"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hint="eastAsia" w:ascii="微软雅黑" w:hAnsi="微软雅黑" w:eastAsia="微软雅黑" w:cs="微软雅黑"/>
                <w:color w:val="000000" w:themeColor="text1"/>
                <w:sz w:val="24"/>
                <w14:textFill>
                  <w14:solidFill>
                    <w14:schemeClr w14:val="tx1"/>
                  </w14:solidFill>
                </w14:textFill>
              </w:rPr>
              <w:t>决赛现场公布</w:t>
            </w:r>
          </w:p>
        </w:tc>
        <w:tc>
          <w:tcPr>
            <w:tcW w:w="1362" w:type="dxa"/>
            <w:vAlign w:val="center"/>
          </w:tcPr>
          <w:p>
            <w:pPr>
              <w:jc w:val="center"/>
              <w:rPr>
                <w:rFonts w:ascii="微软雅黑" w:hAnsi="微软雅黑" w:eastAsia="微软雅黑" w:cs="微软雅黑"/>
                <w:color w:val="000000" w:themeColor="text1"/>
                <w:sz w:val="24"/>
                <w14:textFill>
                  <w14:solidFill>
                    <w14:schemeClr w14:val="tx1"/>
                  </w14:solidFill>
                </w14:textFill>
              </w:rPr>
            </w:pPr>
            <w:r>
              <w:rPr>
                <w:rFonts w:ascii="微软雅黑" w:hAnsi="微软雅黑" w:eastAsia="微软雅黑" w:cs="微软雅黑"/>
                <w:color w:val="000000" w:themeColor="text1"/>
                <w:sz w:val="24"/>
                <w14:textFill>
                  <w14:solidFill>
                    <w14:schemeClr w14:val="tx1"/>
                  </w14:solidFill>
                </w14:textFill>
              </w:rPr>
              <w:t>1</w:t>
            </w:r>
          </w:p>
        </w:tc>
        <w:tc>
          <w:tcPr>
            <w:tcW w:w="1615" w:type="dxa"/>
            <w:vAlign w:val="center"/>
          </w:tcPr>
          <w:p>
            <w:pPr>
              <w:jc w:val="center"/>
              <w:rPr>
                <w:rFonts w:ascii="微软雅黑" w:hAnsi="微软雅黑" w:eastAsia="微软雅黑" w:cs="微软雅黑"/>
                <w:color w:val="000000" w:themeColor="text1"/>
                <w:sz w:val="24"/>
                <w14:textFill>
                  <w14:solidFill>
                    <w14:schemeClr w14:val="tx1"/>
                  </w14:solidFill>
                </w14:textFill>
              </w:rPr>
            </w:pPr>
          </w:p>
        </w:tc>
      </w:tr>
    </w:tbl>
    <w:p>
      <w:pPr>
        <w:spacing w:line="360" w:lineRule="auto"/>
        <w:ind w:firstLine="480" w:firstLineChars="200"/>
        <w:rPr>
          <w:rFonts w:ascii="Calibri" w:hAnsi="Calibri" w:eastAsia="华文细黑"/>
          <w:sz w:val="24"/>
        </w:rPr>
      </w:pPr>
    </w:p>
    <w:p>
      <w:pPr>
        <w:spacing w:line="360" w:lineRule="auto"/>
        <w:ind w:firstLine="480" w:firstLineChars="200"/>
        <w:rPr>
          <w:rFonts w:ascii="Calibri" w:hAnsi="Calibri" w:eastAsia="华文细黑"/>
          <w:sz w:val="24"/>
        </w:rPr>
      </w:pPr>
      <w:r>
        <w:rPr>
          <w:rFonts w:hint="eastAsia" w:ascii="Calibri" w:hAnsi="Calibri" w:eastAsia="华文细黑"/>
          <w:sz w:val="24"/>
        </w:rPr>
        <w:t>2.组合件加工</w:t>
      </w:r>
    </w:p>
    <w:p>
      <w:pPr>
        <w:spacing w:line="360" w:lineRule="auto"/>
        <w:ind w:firstLine="480" w:firstLineChars="200"/>
        <w:rPr>
          <w:rFonts w:ascii="Calibri" w:hAnsi="Calibri" w:eastAsia="华文细黑"/>
          <w:sz w:val="24"/>
        </w:rPr>
      </w:pPr>
      <w:r>
        <w:rPr>
          <w:rFonts w:hint="eastAsia" w:ascii="Calibri" w:hAnsi="Calibri" w:eastAsia="华文细黑"/>
          <w:sz w:val="24"/>
        </w:rPr>
        <w:t>（1）竞赛内容：</w:t>
      </w:r>
    </w:p>
    <w:p>
      <w:pPr>
        <w:spacing w:line="360" w:lineRule="auto"/>
        <w:ind w:firstLine="480" w:firstLineChars="200"/>
        <w:rPr>
          <w:rFonts w:ascii="Calibri" w:hAnsi="Calibri" w:eastAsia="华文细黑"/>
          <w:sz w:val="24"/>
        </w:rPr>
      </w:pPr>
      <w:r>
        <w:rPr>
          <w:rFonts w:hint="eastAsia" w:ascii="Calibri" w:hAnsi="Calibri" w:eastAsia="华文细黑"/>
          <w:sz w:val="24"/>
        </w:rPr>
        <w:t>组合件加工从加工零件的质量和加工过程的职业素养两方面进行考查。</w:t>
      </w:r>
    </w:p>
    <w:p>
      <w:pPr>
        <w:spacing w:line="360" w:lineRule="auto"/>
        <w:ind w:firstLine="480" w:firstLineChars="200"/>
        <w:rPr>
          <w:rFonts w:ascii="Calibri" w:hAnsi="Calibri" w:eastAsia="华文细黑"/>
          <w:sz w:val="24"/>
        </w:rPr>
      </w:pPr>
      <w:r>
        <w:rPr>
          <w:rFonts w:hint="eastAsia" w:ascii="Calibri" w:hAnsi="Calibri" w:eastAsia="华文细黑"/>
          <w:sz w:val="24"/>
        </w:rPr>
        <w:t>1）完成组合件加工并按装配图进行装配，保证相关技术要求。装配示意图见图1，标题栏及明细表见表2。具体尺寸及相关技术要求决赛现场发布。</w:t>
      </w:r>
    </w:p>
    <w:p>
      <w:pPr>
        <w:spacing w:line="360" w:lineRule="auto"/>
        <w:ind w:firstLine="480" w:firstLineChars="200"/>
        <w:rPr>
          <w:rFonts w:ascii="Calibri" w:hAnsi="Calibri" w:eastAsia="华文细黑"/>
          <w:sz w:val="24"/>
        </w:rPr>
      </w:pPr>
      <w:r>
        <w:rPr>
          <w:rFonts w:hint="eastAsia" w:ascii="Calibri" w:hAnsi="Calibri" w:eastAsia="华文细黑"/>
          <w:sz w:val="24"/>
        </w:rPr>
        <w:t>2）职业素养</w:t>
      </w:r>
    </w:p>
    <w:p>
      <w:pPr>
        <w:spacing w:line="360" w:lineRule="auto"/>
        <w:ind w:firstLine="480" w:firstLineChars="200"/>
        <w:rPr>
          <w:rFonts w:ascii="Calibri" w:hAnsi="Calibri" w:eastAsia="华文细黑"/>
          <w:sz w:val="24"/>
        </w:rPr>
      </w:pPr>
      <w:r>
        <w:rPr>
          <w:rFonts w:hint="eastAsia" w:ascii="Calibri" w:hAnsi="Calibri" w:eastAsia="华文细黑"/>
          <w:sz w:val="24"/>
        </w:rPr>
        <w:t>职业素养考核以下方面：</w:t>
      </w:r>
    </w:p>
    <w:p>
      <w:pPr>
        <w:spacing w:line="360" w:lineRule="auto"/>
        <w:ind w:firstLine="480" w:firstLineChars="200"/>
        <w:rPr>
          <w:rFonts w:ascii="Calibri" w:hAnsi="Calibri" w:eastAsia="华文细黑"/>
          <w:sz w:val="24"/>
        </w:rPr>
      </w:pPr>
      <w:r>
        <w:rPr>
          <w:rFonts w:ascii="Calibri" w:hAnsi="Calibri" w:eastAsia="华文细黑"/>
          <w:sz w:val="24"/>
        </w:rPr>
        <w:fldChar w:fldCharType="begin"/>
      </w:r>
      <w:r>
        <w:rPr>
          <w:rFonts w:ascii="Calibri" w:hAnsi="Calibri" w:eastAsia="华文细黑"/>
          <w:sz w:val="24"/>
        </w:rPr>
        <w:instrText xml:space="preserve">= 1 \* GB3</w:instrText>
      </w:r>
      <w:r>
        <w:rPr>
          <w:rFonts w:ascii="Calibri" w:hAnsi="Calibri" w:eastAsia="华文细黑"/>
          <w:sz w:val="24"/>
        </w:rPr>
        <w:fldChar w:fldCharType="separate"/>
      </w:r>
      <w:r>
        <w:rPr>
          <w:rFonts w:hint="eastAsia" w:ascii="Calibri" w:hAnsi="Calibri" w:eastAsia="华文细黑"/>
          <w:sz w:val="24"/>
        </w:rPr>
        <w:t>①</w:t>
      </w:r>
      <w:r>
        <w:rPr>
          <w:rFonts w:ascii="Calibri" w:hAnsi="Calibri" w:eastAsia="华文细黑"/>
          <w:sz w:val="24"/>
        </w:rPr>
        <w:fldChar w:fldCharType="end"/>
      </w:r>
      <w:r>
        <w:rPr>
          <w:rFonts w:hint="eastAsia" w:ascii="Calibri" w:hAnsi="Calibri" w:eastAsia="华文细黑"/>
          <w:sz w:val="24"/>
        </w:rPr>
        <w:t>操作设备的规范性；</w:t>
      </w:r>
    </w:p>
    <w:p>
      <w:pPr>
        <w:spacing w:line="360" w:lineRule="auto"/>
        <w:ind w:firstLine="480" w:firstLineChars="200"/>
        <w:rPr>
          <w:rFonts w:ascii="Calibri" w:hAnsi="Calibri" w:eastAsia="华文细黑"/>
          <w:sz w:val="24"/>
        </w:rPr>
      </w:pPr>
      <w:r>
        <w:rPr>
          <w:rFonts w:ascii="Calibri" w:hAnsi="Calibri" w:eastAsia="华文细黑"/>
          <w:sz w:val="24"/>
        </w:rPr>
        <w:fldChar w:fldCharType="begin"/>
      </w:r>
      <w:r>
        <w:rPr>
          <w:rFonts w:ascii="Calibri" w:hAnsi="Calibri" w:eastAsia="华文细黑"/>
          <w:sz w:val="24"/>
        </w:rPr>
        <w:instrText xml:space="preserve">= 2 \* GB3</w:instrText>
      </w:r>
      <w:r>
        <w:rPr>
          <w:rFonts w:ascii="Calibri" w:hAnsi="Calibri" w:eastAsia="华文细黑"/>
          <w:sz w:val="24"/>
        </w:rPr>
        <w:fldChar w:fldCharType="separate"/>
      </w:r>
      <w:r>
        <w:rPr>
          <w:rFonts w:hint="eastAsia" w:ascii="Calibri" w:hAnsi="Calibri" w:eastAsia="华文细黑"/>
          <w:sz w:val="24"/>
        </w:rPr>
        <w:t>②</w:t>
      </w:r>
      <w:r>
        <w:rPr>
          <w:rFonts w:ascii="Calibri" w:hAnsi="Calibri" w:eastAsia="华文细黑"/>
          <w:sz w:val="24"/>
        </w:rPr>
        <w:fldChar w:fldCharType="end"/>
      </w:r>
      <w:r>
        <w:rPr>
          <w:rFonts w:hint="eastAsia" w:ascii="Calibri" w:hAnsi="Calibri" w:eastAsia="华文细黑"/>
          <w:sz w:val="24"/>
        </w:rPr>
        <w:t>工具、量具、刀具的放置及正确使用；</w:t>
      </w:r>
    </w:p>
    <w:p>
      <w:pPr>
        <w:spacing w:line="360" w:lineRule="auto"/>
        <w:ind w:firstLine="480" w:firstLineChars="200"/>
        <w:rPr>
          <w:rFonts w:ascii="Calibri" w:hAnsi="Calibri" w:eastAsia="华文细黑"/>
          <w:sz w:val="24"/>
        </w:rPr>
      </w:pPr>
      <w:r>
        <w:rPr>
          <w:rFonts w:ascii="Calibri" w:hAnsi="Calibri" w:eastAsia="华文细黑"/>
          <w:sz w:val="24"/>
        </w:rPr>
        <w:fldChar w:fldCharType="begin"/>
      </w:r>
      <w:r>
        <w:rPr>
          <w:rFonts w:ascii="Calibri" w:hAnsi="Calibri" w:eastAsia="华文细黑"/>
          <w:sz w:val="24"/>
        </w:rPr>
        <w:instrText xml:space="preserve">= 3 \* GB3</w:instrText>
      </w:r>
      <w:r>
        <w:rPr>
          <w:rFonts w:ascii="Calibri" w:hAnsi="Calibri" w:eastAsia="华文细黑"/>
          <w:sz w:val="24"/>
        </w:rPr>
        <w:fldChar w:fldCharType="separate"/>
      </w:r>
      <w:r>
        <w:rPr>
          <w:rFonts w:hint="eastAsia" w:ascii="Calibri" w:hAnsi="Calibri" w:eastAsia="华文细黑"/>
          <w:sz w:val="24"/>
        </w:rPr>
        <w:t>③</w:t>
      </w:r>
      <w:r>
        <w:rPr>
          <w:rFonts w:ascii="Calibri" w:hAnsi="Calibri" w:eastAsia="华文细黑"/>
          <w:sz w:val="24"/>
        </w:rPr>
        <w:fldChar w:fldCharType="end"/>
      </w:r>
      <w:r>
        <w:rPr>
          <w:rFonts w:hint="eastAsia" w:ascii="Calibri" w:hAnsi="Calibri" w:eastAsia="华文细黑"/>
          <w:sz w:val="24"/>
        </w:rPr>
        <w:t>现场的安全、文明生产及安全防护（含工作服、防砸鞋、工作帽、防护镜的穿戴）；</w:t>
      </w:r>
    </w:p>
    <w:p>
      <w:pPr>
        <w:spacing w:line="360" w:lineRule="auto"/>
        <w:ind w:firstLine="480" w:firstLineChars="200"/>
        <w:rPr>
          <w:rFonts w:ascii="Calibri" w:hAnsi="Calibri" w:eastAsia="华文细黑"/>
          <w:sz w:val="24"/>
        </w:rPr>
      </w:pPr>
      <w:r>
        <w:rPr>
          <w:rFonts w:hint="eastAsia" w:ascii="Calibri" w:hAnsi="Calibri" w:eastAsia="华文细黑"/>
          <w:sz w:val="24"/>
        </w:rPr>
        <w:t>④完成任务的计划性、条理性，以及遇到问题时的应对状况等；</w:t>
      </w:r>
    </w:p>
    <w:p>
      <w:pPr>
        <w:spacing w:line="360" w:lineRule="auto"/>
        <w:ind w:firstLine="480" w:firstLineChars="200"/>
        <w:rPr>
          <w:rFonts w:ascii="Calibri" w:hAnsi="Calibri" w:eastAsia="华文细黑"/>
          <w:sz w:val="24"/>
        </w:rPr>
      </w:pPr>
      <w:r>
        <w:rPr>
          <w:rFonts w:hint="eastAsia" w:ascii="Calibri" w:hAnsi="Calibri" w:eastAsia="华文细黑"/>
          <w:sz w:val="24"/>
        </w:rPr>
        <w:t>⑤尊重赛场工作人员，爱惜赛场的设备和器材，保持赛位的整洁。</w:t>
      </w:r>
    </w:p>
    <w:p>
      <w:pPr>
        <w:spacing w:line="360" w:lineRule="auto"/>
        <w:ind w:firstLine="240" w:firstLineChars="100"/>
        <w:rPr>
          <w:rFonts w:ascii="Calibri" w:hAnsi="Calibri" w:eastAsia="华文细黑"/>
          <w:sz w:val="24"/>
        </w:rPr>
      </w:pPr>
      <w:r>
        <w:rPr>
          <w:rFonts w:hint="eastAsia" w:ascii="Calibri" w:hAnsi="Calibri" w:eastAsia="华文细黑"/>
          <w:sz w:val="24"/>
        </w:rPr>
        <w:t>（2）评分说明：本项目总分</w:t>
      </w:r>
      <w:r>
        <w:rPr>
          <w:rFonts w:ascii="Calibri" w:hAnsi="Calibri" w:eastAsia="华文细黑"/>
          <w:sz w:val="24"/>
        </w:rPr>
        <w:t>6</w:t>
      </w:r>
      <w:r>
        <w:rPr>
          <w:rFonts w:hint="eastAsia" w:ascii="Calibri" w:hAnsi="Calibri" w:eastAsia="华文细黑"/>
          <w:sz w:val="24"/>
        </w:rPr>
        <w:t>0分，按项配分，合格得分，不合格不得分。</w:t>
      </w:r>
    </w:p>
    <w:p>
      <w:pPr>
        <w:spacing w:line="360" w:lineRule="auto"/>
        <w:ind w:firstLine="480" w:firstLineChars="200"/>
        <w:rPr>
          <w:rFonts w:ascii="Calibri" w:hAnsi="Calibri" w:eastAsia="华文细黑"/>
          <w:sz w:val="24"/>
        </w:rPr>
      </w:pPr>
      <w:r>
        <w:rPr>
          <w:rFonts w:hint="eastAsia" w:ascii="Calibri" w:hAnsi="Calibri" w:eastAsia="华文细黑"/>
          <w:sz w:val="24"/>
        </w:rPr>
        <w:t>1）评分原则</w:t>
      </w:r>
    </w:p>
    <w:p>
      <w:pPr>
        <w:spacing w:line="360" w:lineRule="auto"/>
        <w:ind w:firstLine="480" w:firstLineChars="200"/>
        <w:rPr>
          <w:rFonts w:ascii="Calibri" w:hAnsi="Calibri" w:eastAsia="华文细黑"/>
          <w:sz w:val="24"/>
        </w:rPr>
      </w:pPr>
      <w:r>
        <w:rPr>
          <w:rFonts w:hint="eastAsia" w:ascii="Calibri" w:hAnsi="Calibri" w:eastAsia="华文细黑"/>
          <w:sz w:val="24"/>
        </w:rPr>
        <w:t>本项竞赛零件尺寸检测采用以三坐标测量机与手工测量相结合的方法，表面粗糙度采用粗糙度测量仪检测；赛件外观及职业素养等由裁判检测组和现场裁判依据评分标准进行评分。</w:t>
      </w:r>
    </w:p>
    <w:p>
      <w:pPr>
        <w:spacing w:line="360" w:lineRule="auto"/>
        <w:ind w:firstLine="480" w:firstLineChars="200"/>
        <w:rPr>
          <w:rFonts w:ascii="Calibri" w:hAnsi="Calibri" w:eastAsia="华文细黑"/>
          <w:sz w:val="24"/>
        </w:rPr>
      </w:pPr>
    </w:p>
    <w:p>
      <w:pPr>
        <w:spacing w:line="360" w:lineRule="auto"/>
        <w:ind w:firstLine="480" w:firstLineChars="200"/>
        <w:rPr>
          <w:rFonts w:ascii="Calibri" w:hAnsi="Calibri" w:eastAsia="华文细黑"/>
          <w:sz w:val="24"/>
        </w:rPr>
      </w:pPr>
    </w:p>
    <w:p>
      <w:pPr>
        <w:spacing w:line="360" w:lineRule="auto"/>
        <w:rPr>
          <w:rFonts w:ascii="Calibri" w:hAnsi="Calibri" w:eastAsia="华文细黑"/>
          <w:sz w:val="24"/>
        </w:rPr>
      </w:pPr>
      <w:r>
        <w:rPr>
          <w:rFonts w:ascii="Calibri" w:hAnsi="Calibri" w:eastAsia="华文细黑"/>
          <w:sz w:val="24"/>
        </w:rPr>
        <w:drawing>
          <wp:inline distT="0" distB="0" distL="0" distR="0">
            <wp:extent cx="5535295" cy="6259830"/>
            <wp:effectExtent l="0" t="0" r="825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cstate="print">
                      <a:extLst>
                        <a:ext uri="{28A0092B-C50C-407E-A947-70E740481C1C}">
                          <a14:useLocalDpi xmlns:a14="http://schemas.microsoft.com/office/drawing/2010/main" val="0"/>
                        </a:ext>
                      </a:extLst>
                    </a:blip>
                    <a:srcRect l="6556" t="17217" r="8684" b="14999"/>
                    <a:stretch>
                      <a:fillRect/>
                    </a:stretch>
                  </pic:blipFill>
                  <pic:spPr>
                    <a:xfrm>
                      <a:off x="0" y="0"/>
                      <a:ext cx="5541087" cy="6266134"/>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图1.  装配示意图</w:t>
      </w:r>
    </w:p>
    <w:p>
      <w:pPr>
        <w:spacing w:line="360" w:lineRule="auto"/>
        <w:ind w:firstLine="480" w:firstLineChars="200"/>
        <w:rPr>
          <w:rFonts w:ascii="Calibri" w:hAnsi="Calibri" w:eastAsia="华文细黑"/>
          <w:sz w:val="24"/>
        </w:rPr>
      </w:pPr>
      <w:r>
        <w:rPr>
          <w:rFonts w:hint="eastAsia" w:ascii="Calibri" w:hAnsi="Calibri" w:eastAsia="华文细黑"/>
          <w:sz w:val="24"/>
        </w:rPr>
        <w:t>2）评分流程</w:t>
      </w:r>
    </w:p>
    <w:p>
      <w:pPr>
        <w:spacing w:line="360" w:lineRule="auto"/>
        <w:ind w:firstLine="480" w:firstLineChars="200"/>
        <w:rPr>
          <w:rFonts w:ascii="Calibri" w:hAnsi="Calibri" w:eastAsia="华文细黑"/>
          <w:sz w:val="24"/>
        </w:rPr>
      </w:pPr>
      <w:r>
        <w:rPr>
          <w:rFonts w:hint="eastAsia" w:ascii="Calibri" w:hAnsi="Calibri" w:eastAsia="华文细黑"/>
          <w:sz w:val="24"/>
        </w:rPr>
        <w:t>检测过程中，操作三坐标测量机和粗糙度测量仪的操作人员必须在不少于</w:t>
      </w:r>
      <w:r>
        <w:rPr>
          <w:rFonts w:ascii="Calibri" w:hAnsi="Calibri" w:eastAsia="华文细黑"/>
          <w:sz w:val="24"/>
        </w:rPr>
        <w:t>2</w:t>
      </w:r>
      <w:r>
        <w:rPr>
          <w:rFonts w:hint="eastAsia" w:ascii="Calibri" w:hAnsi="Calibri" w:eastAsia="华文细黑"/>
          <w:sz w:val="24"/>
        </w:rPr>
        <w:t>名裁判员的监督下进行数据测量和数据存储。存储后的测量数据任何人不得修改，并必须立即打印纸质文件提交给裁判长妥善保存。主观评分和手工测量数据应该由每一名参与评判的裁判员签字确认后提交给裁判长妥善保存。手工测量产生异议将以三坐标测量机检测结果为准。</w:t>
      </w:r>
    </w:p>
    <w:p>
      <w:pPr>
        <w:spacing w:line="360" w:lineRule="auto"/>
        <w:ind w:firstLine="480" w:firstLineChars="200"/>
        <w:rPr>
          <w:rFonts w:ascii="Calibri" w:hAnsi="Calibri" w:eastAsia="华文细黑"/>
          <w:sz w:val="24"/>
        </w:rPr>
      </w:pPr>
      <w:r>
        <w:rPr>
          <w:rFonts w:hint="eastAsia" w:ascii="Calibri" w:hAnsi="Calibri" w:eastAsia="华文细黑"/>
          <w:sz w:val="24"/>
        </w:rPr>
        <w:t>（3）赛前准备：参赛选手自备工、量、辅具清单见表</w:t>
      </w:r>
      <w:r>
        <w:rPr>
          <w:rFonts w:ascii="Calibri" w:hAnsi="Calibri" w:eastAsia="华文细黑"/>
          <w:sz w:val="24"/>
        </w:rPr>
        <w:t>3</w:t>
      </w:r>
      <w:r>
        <w:rPr>
          <w:rFonts w:hint="eastAsia" w:ascii="Calibri" w:hAnsi="Calibri" w:eastAsia="华文细黑"/>
          <w:sz w:val="24"/>
        </w:rPr>
        <w:t>，车工实操赛场准备清单见表</w:t>
      </w:r>
      <w:r>
        <w:rPr>
          <w:rFonts w:ascii="Calibri" w:hAnsi="Calibri" w:eastAsia="华文细黑"/>
          <w:sz w:val="24"/>
        </w:rPr>
        <w:t>4</w:t>
      </w:r>
      <w:r>
        <w:rPr>
          <w:rFonts w:hint="eastAsia" w:ascii="Calibri" w:hAnsi="Calibri" w:eastAsia="华文细黑"/>
          <w:sz w:val="24"/>
        </w:rPr>
        <w:t>。</w:t>
      </w:r>
    </w:p>
    <w:p>
      <w:pPr>
        <w:spacing w:line="360" w:lineRule="auto"/>
        <w:jc w:val="center"/>
        <w:rPr>
          <w:rFonts w:ascii="Calibri" w:hAnsi="Calibri" w:eastAsia="华文细黑"/>
          <w:b/>
          <w:sz w:val="24"/>
        </w:rPr>
      </w:pPr>
      <w:r>
        <w:rPr>
          <w:rFonts w:hint="eastAsia" w:ascii="Calibri" w:hAnsi="Calibri" w:eastAsia="华文细黑"/>
          <w:b/>
          <w:sz w:val="24"/>
        </w:rPr>
        <w:t>表</w:t>
      </w:r>
      <w:r>
        <w:rPr>
          <w:rFonts w:ascii="Calibri" w:hAnsi="Calibri" w:eastAsia="华文细黑"/>
          <w:b/>
          <w:sz w:val="24"/>
        </w:rPr>
        <w:t>2</w:t>
      </w:r>
      <w:r>
        <w:rPr>
          <w:rFonts w:hint="eastAsia" w:ascii="Calibri" w:hAnsi="Calibri" w:eastAsia="华文细黑"/>
          <w:b/>
          <w:sz w:val="24"/>
        </w:rPr>
        <w:t>. 标题栏及明细表</w:t>
      </w:r>
    </w:p>
    <w:p>
      <w:pPr>
        <w:spacing w:line="360" w:lineRule="auto"/>
        <w:rPr>
          <w:rFonts w:ascii="Calibri" w:hAnsi="Calibri" w:eastAsia="华文细黑"/>
          <w:sz w:val="24"/>
        </w:rPr>
      </w:pPr>
      <w:r>
        <w:rPr>
          <w:rFonts w:ascii="Calibri" w:hAnsi="Calibri" w:eastAsia="华文细黑"/>
          <w:sz w:val="24"/>
        </w:rPr>
        <w:drawing>
          <wp:inline distT="0" distB="0" distL="0" distR="0">
            <wp:extent cx="4670425" cy="5346065"/>
            <wp:effectExtent l="5080" t="0" r="190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cstate="print">
                      <a:extLst>
                        <a:ext uri="{28A0092B-C50C-407E-A947-70E740481C1C}">
                          <a14:useLocalDpi xmlns:a14="http://schemas.microsoft.com/office/drawing/2010/main" val="0"/>
                        </a:ext>
                      </a:extLst>
                    </a:blip>
                    <a:srcRect l="7024" t="15120" r="7747" b="15884"/>
                    <a:stretch>
                      <a:fillRect/>
                    </a:stretch>
                  </pic:blipFill>
                  <pic:spPr>
                    <a:xfrm rot="5400000">
                      <a:off x="0" y="0"/>
                      <a:ext cx="4674155" cy="5350635"/>
                    </a:xfrm>
                    <a:prstGeom prst="rect">
                      <a:avLst/>
                    </a:prstGeom>
                    <a:ln>
                      <a:noFill/>
                    </a:ln>
                  </pic:spPr>
                </pic:pic>
              </a:graphicData>
            </a:graphic>
          </wp:inline>
        </w:drawing>
      </w:r>
    </w:p>
    <w:p>
      <w:pPr>
        <w:spacing w:line="360" w:lineRule="auto"/>
        <w:ind w:firstLine="480" w:firstLineChars="200"/>
        <w:jc w:val="center"/>
        <w:rPr>
          <w:rFonts w:ascii="Calibri" w:hAnsi="Calibri" w:eastAsia="华文细黑"/>
          <w:b/>
          <w:sz w:val="24"/>
        </w:rPr>
      </w:pPr>
      <w:r>
        <w:rPr>
          <w:rFonts w:hint="eastAsia" w:ascii="Calibri" w:hAnsi="Calibri" w:eastAsia="华文细黑"/>
          <w:b/>
          <w:sz w:val="24"/>
        </w:rPr>
        <w:t>表</w:t>
      </w:r>
      <w:r>
        <w:rPr>
          <w:rFonts w:ascii="Calibri" w:hAnsi="Calibri" w:eastAsia="华文细黑"/>
          <w:b/>
          <w:sz w:val="24"/>
        </w:rPr>
        <w:t>3</w:t>
      </w:r>
      <w:r>
        <w:rPr>
          <w:rFonts w:hint="eastAsia" w:ascii="Calibri" w:hAnsi="Calibri" w:eastAsia="华文细黑"/>
          <w:b/>
          <w:sz w:val="24"/>
        </w:rPr>
        <w:t>. 参赛选手自备工、量、辅具清单</w:t>
      </w:r>
    </w:p>
    <w:tbl>
      <w:tblPr>
        <w:tblStyle w:val="13"/>
        <w:tblW w:w="80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1701"/>
        <w:gridCol w:w="1701"/>
        <w:gridCol w:w="850"/>
        <w:gridCol w:w="709"/>
        <w:gridCol w:w="23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79" w:type="dxa"/>
            <w:vAlign w:val="center"/>
          </w:tcPr>
          <w:p>
            <w:pPr>
              <w:jc w:val="center"/>
              <w:rPr>
                <w:rFonts w:ascii="华文细黑" w:hAnsi="华文细黑" w:eastAsia="华文细黑"/>
                <w:b/>
                <w:szCs w:val="21"/>
              </w:rPr>
            </w:pPr>
            <w:r>
              <w:rPr>
                <w:rFonts w:hint="eastAsia" w:ascii="华文细黑" w:hAnsi="华文细黑" w:eastAsia="华文细黑"/>
                <w:b/>
                <w:szCs w:val="21"/>
              </w:rPr>
              <w:t>序号</w:t>
            </w:r>
          </w:p>
        </w:tc>
        <w:tc>
          <w:tcPr>
            <w:tcW w:w="1701" w:type="dxa"/>
            <w:vAlign w:val="center"/>
          </w:tcPr>
          <w:p>
            <w:pPr>
              <w:jc w:val="center"/>
              <w:rPr>
                <w:rFonts w:ascii="华文细黑" w:hAnsi="华文细黑" w:eastAsia="华文细黑"/>
                <w:b/>
                <w:szCs w:val="21"/>
              </w:rPr>
            </w:pPr>
            <w:r>
              <w:rPr>
                <w:rFonts w:hint="eastAsia" w:ascii="华文细黑" w:hAnsi="华文细黑" w:eastAsia="华文细黑"/>
                <w:b/>
                <w:szCs w:val="21"/>
              </w:rPr>
              <w:t>名   称</w:t>
            </w:r>
          </w:p>
        </w:tc>
        <w:tc>
          <w:tcPr>
            <w:tcW w:w="1701" w:type="dxa"/>
            <w:vAlign w:val="center"/>
          </w:tcPr>
          <w:p>
            <w:pPr>
              <w:jc w:val="center"/>
              <w:rPr>
                <w:rFonts w:ascii="华文细黑" w:hAnsi="华文细黑" w:eastAsia="华文细黑"/>
                <w:b/>
                <w:szCs w:val="21"/>
              </w:rPr>
            </w:pPr>
            <w:r>
              <w:rPr>
                <w:rFonts w:hint="eastAsia" w:ascii="华文细黑" w:hAnsi="华文细黑" w:eastAsia="华文细黑"/>
                <w:b/>
                <w:szCs w:val="21"/>
              </w:rPr>
              <w:t>规  格</w:t>
            </w:r>
          </w:p>
        </w:tc>
        <w:tc>
          <w:tcPr>
            <w:tcW w:w="850" w:type="dxa"/>
            <w:vAlign w:val="center"/>
          </w:tcPr>
          <w:p>
            <w:pPr>
              <w:jc w:val="center"/>
              <w:rPr>
                <w:rFonts w:ascii="华文细黑" w:hAnsi="华文细黑" w:eastAsia="华文细黑"/>
                <w:b/>
                <w:szCs w:val="21"/>
              </w:rPr>
            </w:pPr>
            <w:r>
              <w:rPr>
                <w:rFonts w:hint="eastAsia" w:ascii="华文细黑" w:hAnsi="华文细黑" w:eastAsia="华文细黑"/>
                <w:b/>
                <w:szCs w:val="21"/>
              </w:rPr>
              <w:t>分度值</w:t>
            </w:r>
          </w:p>
        </w:tc>
        <w:tc>
          <w:tcPr>
            <w:tcW w:w="709" w:type="dxa"/>
            <w:vAlign w:val="center"/>
          </w:tcPr>
          <w:p>
            <w:pPr>
              <w:jc w:val="center"/>
              <w:rPr>
                <w:rFonts w:ascii="华文细黑" w:hAnsi="华文细黑" w:eastAsia="华文细黑"/>
                <w:b/>
                <w:szCs w:val="21"/>
              </w:rPr>
            </w:pPr>
            <w:r>
              <w:rPr>
                <w:rFonts w:hint="eastAsia" w:ascii="华文细黑" w:hAnsi="华文细黑" w:eastAsia="华文细黑"/>
                <w:b/>
                <w:szCs w:val="21"/>
              </w:rPr>
              <w:t>数量</w:t>
            </w:r>
          </w:p>
        </w:tc>
        <w:tc>
          <w:tcPr>
            <w:tcW w:w="2335" w:type="dxa"/>
            <w:vAlign w:val="center"/>
          </w:tcPr>
          <w:p>
            <w:pPr>
              <w:jc w:val="center"/>
              <w:rPr>
                <w:rFonts w:ascii="华文细黑" w:hAnsi="华文细黑" w:eastAsia="华文细黑"/>
                <w:b/>
                <w:szCs w:val="21"/>
              </w:rPr>
            </w:pPr>
            <w:r>
              <w:rPr>
                <w:rFonts w:hint="eastAsia" w:ascii="华文细黑" w:hAnsi="华文细黑" w:eastAsia="华文细黑"/>
                <w:b/>
                <w:szCs w:val="21"/>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外径千分尺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0～25</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外径千分尺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25～50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外径千分尺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50～75</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外径千分尺</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75</w:t>
            </w:r>
            <w:r>
              <w:rPr>
                <w:rFonts w:hint="eastAsia" w:ascii="华文细黑" w:hAnsi="华文细黑" w:eastAsia="华文细黑"/>
                <w:szCs w:val="21"/>
              </w:rPr>
              <w:t>～</w:t>
            </w:r>
            <w:r>
              <w:rPr>
                <w:rFonts w:ascii="华文细黑" w:hAnsi="华文细黑" w:eastAsia="华文细黑"/>
                <w:szCs w:val="21"/>
              </w:rPr>
              <w:t>100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游标卡尺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0～150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0.02</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游标卡尺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0～200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0.02</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深度游标卡尺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0～200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0.02</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万能角度尺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w:t>
            </w:r>
            <w:r>
              <w:rPr>
                <w:rFonts w:ascii="华文细黑" w:hAnsi="华文细黑" w:eastAsia="华文细黑" w:cs="Calibri"/>
                <w:szCs w:val="21"/>
              </w:rPr>
              <w:t>º</w:t>
            </w:r>
            <w:r>
              <w:rPr>
                <w:rFonts w:hint="eastAsia" w:ascii="华文细黑" w:hAnsi="华文细黑" w:eastAsia="华文细黑"/>
                <w:szCs w:val="21"/>
              </w:rPr>
              <w:t>～320</w:t>
            </w:r>
            <w:r>
              <w:rPr>
                <w:rFonts w:ascii="华文细黑" w:hAnsi="华文细黑" w:eastAsia="华文细黑" w:cs="Calibri"/>
                <w:szCs w:val="21"/>
              </w:rPr>
              <w:t>º</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2</w:t>
            </w:r>
            <w:r>
              <w:rPr>
                <w:rFonts w:hint="eastAsia" w:ascii="华文细黑" w:hAnsi="华文细黑" w:eastAsia="华文细黑"/>
                <w:szCs w:val="21"/>
                <w:vertAlign w:val="superscript"/>
              </w:rPr>
              <w:t>/</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内径百分表</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18～35</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内径百分表</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35～50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内径百分表</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50</w:t>
            </w:r>
            <w:r>
              <w:rPr>
                <w:rFonts w:hint="eastAsia" w:ascii="华文细黑" w:hAnsi="华文细黑" w:eastAsia="华文细黑"/>
                <w:szCs w:val="21"/>
              </w:rPr>
              <w:t>～</w:t>
            </w:r>
            <w:r>
              <w:rPr>
                <w:rFonts w:ascii="华文细黑" w:hAnsi="华文细黑" w:eastAsia="华文细黑"/>
                <w:szCs w:val="21"/>
              </w:rPr>
              <w:t>100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百分表</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0～10</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磁力表座</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b/>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塞尺</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0</w:t>
            </w:r>
            <w:r>
              <w:rPr>
                <w:rFonts w:ascii="华文细黑" w:hAnsi="华文细黑" w:eastAsia="华文细黑"/>
                <w:szCs w:val="21"/>
              </w:rPr>
              <w:t>.02</w:t>
            </w:r>
            <w:r>
              <w:rPr>
                <w:rFonts w:hint="eastAsia" w:ascii="华文细黑" w:hAnsi="华文细黑" w:eastAsia="华文细黑"/>
                <w:szCs w:val="21"/>
              </w:rPr>
              <w:t>～1</w:t>
            </w:r>
          </w:p>
        </w:tc>
        <w:tc>
          <w:tcPr>
            <w:tcW w:w="850" w:type="dxa"/>
            <w:vAlign w:val="center"/>
          </w:tcPr>
          <w:p>
            <w:pPr>
              <w:jc w:val="center"/>
              <w:rPr>
                <w:rFonts w:ascii="华文细黑" w:hAnsi="华文细黑" w:eastAsia="华文细黑"/>
                <w:b/>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塞规</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Ф8</w:t>
            </w:r>
            <w:r>
              <w:rPr>
                <w:rFonts w:ascii="华文细黑" w:hAnsi="华文细黑" w:eastAsia="华文细黑"/>
                <w:szCs w:val="21"/>
              </w:rPr>
              <w:t>H7</w:t>
            </w:r>
          </w:p>
        </w:tc>
        <w:tc>
          <w:tcPr>
            <w:tcW w:w="850" w:type="dxa"/>
            <w:vAlign w:val="center"/>
          </w:tcPr>
          <w:p>
            <w:pPr>
              <w:jc w:val="center"/>
              <w:rPr>
                <w:rFonts w:ascii="华文细黑" w:hAnsi="华文细黑" w:eastAsia="华文细黑"/>
                <w:b/>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公法线千分尺</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50</w:t>
            </w:r>
            <w:r>
              <w:rPr>
                <w:rFonts w:hint="eastAsia" w:ascii="华文细黑" w:hAnsi="华文细黑" w:eastAsia="华文细黑"/>
                <w:szCs w:val="21"/>
              </w:rPr>
              <w:t>～</w:t>
            </w:r>
            <w:r>
              <w:rPr>
                <w:rFonts w:ascii="华文细黑" w:hAnsi="华文细黑" w:eastAsia="华文细黑"/>
                <w:szCs w:val="21"/>
              </w:rPr>
              <w:t>75</w:t>
            </w:r>
          </w:p>
        </w:tc>
        <w:tc>
          <w:tcPr>
            <w:tcW w:w="850" w:type="dxa"/>
            <w:vAlign w:val="center"/>
          </w:tcPr>
          <w:p>
            <w:pPr>
              <w:jc w:val="center"/>
              <w:rPr>
                <w:rFonts w:ascii="华文细黑" w:hAnsi="华文细黑" w:eastAsia="华文细黑"/>
                <w:b/>
                <w:szCs w:val="21"/>
              </w:rPr>
            </w:pPr>
            <w:r>
              <w:rPr>
                <w:rFonts w:hint="eastAsia" w:ascii="华文细黑" w:hAnsi="华文细黑" w:eastAsia="华文细黑"/>
                <w:szCs w:val="21"/>
              </w:rPr>
              <w:t>0.01</w:t>
            </w:r>
          </w:p>
        </w:tc>
        <w:tc>
          <w:tcPr>
            <w:tcW w:w="709" w:type="dxa"/>
            <w:vAlign w:val="center"/>
          </w:tcPr>
          <w:p>
            <w:pPr>
              <w:jc w:val="center"/>
              <w:rPr>
                <w:rFonts w:ascii="华文细黑" w:hAnsi="华文细黑" w:eastAsia="华文细黑"/>
                <w:szCs w:val="21"/>
              </w:rPr>
            </w:pPr>
            <w:r>
              <w:rPr>
                <w:rFonts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量针（三针）</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P</w:t>
            </w:r>
            <w:r>
              <w:rPr>
                <w:rFonts w:hint="eastAsia" w:ascii="华文细黑" w:hAnsi="华文细黑" w:eastAsia="华文细黑"/>
                <w:szCs w:val="21"/>
              </w:rPr>
              <w:t>=</w:t>
            </w:r>
            <w:r>
              <w:rPr>
                <w:rFonts w:ascii="华文细黑" w:hAnsi="华文细黑" w:eastAsia="华文细黑"/>
                <w:szCs w:val="21"/>
              </w:rPr>
              <w:t>4</w:t>
            </w:r>
          </w:p>
        </w:tc>
        <w:tc>
          <w:tcPr>
            <w:tcW w:w="850" w:type="dxa"/>
            <w:vAlign w:val="center"/>
          </w:tcPr>
          <w:p>
            <w:pPr>
              <w:jc w:val="center"/>
              <w:rPr>
                <w:rFonts w:ascii="华文细黑" w:hAnsi="华文细黑" w:eastAsia="华文细黑"/>
                <w:b/>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螺纹对刀样板</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60</w:t>
            </w:r>
            <w:r>
              <w:rPr>
                <w:rFonts w:ascii="华文细黑" w:hAnsi="华文细黑" w:eastAsia="华文细黑" w:cs="Calibri"/>
                <w:szCs w:val="21"/>
              </w:rPr>
              <w:t>º</w:t>
            </w:r>
            <w:r>
              <w:rPr>
                <w:rFonts w:hint="eastAsia" w:ascii="华文细黑" w:hAnsi="华文细黑" w:eastAsia="华文细黑"/>
                <w:szCs w:val="21"/>
              </w:rPr>
              <w:t>，</w:t>
            </w:r>
            <w:r>
              <w:rPr>
                <w:rFonts w:ascii="华文细黑" w:hAnsi="华文细黑" w:eastAsia="华文细黑"/>
                <w:szCs w:val="21"/>
              </w:rPr>
              <w:t>3</w:t>
            </w:r>
            <w:r>
              <w:rPr>
                <w:rFonts w:hint="eastAsia" w:ascii="华文细黑" w:hAnsi="华文细黑" w:eastAsia="华文细黑"/>
                <w:szCs w:val="21"/>
              </w:rPr>
              <w:t>0</w:t>
            </w:r>
            <w:r>
              <w:rPr>
                <w:rFonts w:ascii="华文细黑" w:hAnsi="华文细黑" w:eastAsia="华文细黑" w:cs="Calibri"/>
                <w:szCs w:val="21"/>
              </w:rPr>
              <w:t>º</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各1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19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量块</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8</w:t>
            </w:r>
            <w:r>
              <w:rPr>
                <w:rFonts w:ascii="华文细黑" w:hAnsi="华文细黑" w:eastAsia="华文细黑"/>
                <w:szCs w:val="21"/>
              </w:rPr>
              <w:t>3</w:t>
            </w:r>
            <w:r>
              <w:rPr>
                <w:rFonts w:hint="eastAsia" w:ascii="华文细黑" w:hAnsi="华文细黑" w:eastAsia="华文细黑"/>
                <w:szCs w:val="21"/>
              </w:rPr>
              <w:t>块</w:t>
            </w:r>
          </w:p>
        </w:tc>
        <w:tc>
          <w:tcPr>
            <w:tcW w:w="850"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R规或圆弧样板</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R</w:t>
            </w:r>
            <w:r>
              <w:rPr>
                <w:rFonts w:ascii="华文细黑" w:hAnsi="华文细黑" w:eastAsia="华文细黑"/>
                <w:szCs w:val="21"/>
              </w:rPr>
              <w:t>7.5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90</w:t>
            </w:r>
            <w:r>
              <w:rPr>
                <w:rFonts w:ascii="华文细黑" w:hAnsi="华文细黑" w:eastAsia="华文细黑" w:cs="Calibri"/>
                <w:szCs w:val="21"/>
              </w:rPr>
              <w:t>º</w:t>
            </w:r>
            <w:r>
              <w:rPr>
                <w:rFonts w:hint="eastAsia" w:ascii="华文细黑" w:hAnsi="华文细黑" w:eastAsia="华文细黑"/>
                <w:szCs w:val="21"/>
              </w:rPr>
              <w:t>偏刀</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45</w:t>
            </w:r>
            <w:r>
              <w:rPr>
                <w:rFonts w:ascii="华文细黑" w:hAnsi="华文细黑" w:eastAsia="华文细黑" w:cs="Calibri"/>
                <w:szCs w:val="21"/>
              </w:rPr>
              <w:t>º</w:t>
            </w:r>
            <w:r>
              <w:rPr>
                <w:rFonts w:hint="eastAsia" w:ascii="华文细黑" w:hAnsi="华文细黑" w:eastAsia="华文细黑"/>
                <w:szCs w:val="21"/>
              </w:rPr>
              <w:t>偏刀</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切断刀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（4～6）×</w:t>
            </w:r>
            <w:r>
              <w:rPr>
                <w:rFonts w:ascii="华文细黑" w:hAnsi="华文细黑" w:eastAsia="华文细黑"/>
                <w:szCs w:val="21"/>
              </w:rPr>
              <w:t>5</w:t>
            </w:r>
            <w:r>
              <w:rPr>
                <w:rFonts w:hint="eastAsia" w:ascii="华文细黑" w:hAnsi="华文细黑" w:eastAsia="华文细黑"/>
                <w:szCs w:val="21"/>
              </w:rPr>
              <w:t>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外切槽刀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（4～6）×</w:t>
            </w:r>
            <w:r>
              <w:rPr>
                <w:rFonts w:ascii="华文细黑" w:hAnsi="华文细黑" w:eastAsia="华文细黑"/>
                <w:szCs w:val="21"/>
              </w:rPr>
              <w:t>2</w:t>
            </w:r>
            <w:r>
              <w:rPr>
                <w:rFonts w:hint="eastAsia" w:ascii="华文细黑" w:hAnsi="华文细黑" w:eastAsia="华文细黑"/>
                <w:szCs w:val="21"/>
              </w:rPr>
              <w:t>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内沟槽刀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w:t>
            </w:r>
            <w:r>
              <w:rPr>
                <w:rFonts w:ascii="华文细黑" w:hAnsi="华文细黑" w:eastAsia="华文细黑"/>
                <w:szCs w:val="21"/>
              </w:rPr>
              <w:t>4</w:t>
            </w:r>
            <w:r>
              <w:rPr>
                <w:rFonts w:hint="eastAsia" w:ascii="华文细黑" w:hAnsi="华文细黑" w:eastAsia="华文细黑"/>
                <w:szCs w:val="21"/>
              </w:rPr>
              <w:t>～</w:t>
            </w:r>
            <w:r>
              <w:rPr>
                <w:rFonts w:ascii="华文细黑" w:hAnsi="华文细黑" w:eastAsia="华文细黑"/>
                <w:szCs w:val="21"/>
              </w:rPr>
              <w:t>6</w:t>
            </w:r>
            <w:r>
              <w:rPr>
                <w:rFonts w:hint="eastAsia" w:ascii="华文细黑" w:hAnsi="华文细黑" w:eastAsia="华文细黑"/>
                <w:szCs w:val="21"/>
              </w:rPr>
              <w:t>）×5×Ф</w:t>
            </w:r>
            <w:r>
              <w:rPr>
                <w:rFonts w:ascii="华文细黑" w:hAnsi="华文细黑" w:eastAsia="华文细黑"/>
                <w:szCs w:val="21"/>
              </w:rPr>
              <w:t>40</w:t>
            </w:r>
            <w:r>
              <w:rPr>
                <w:rFonts w:hint="eastAsia" w:ascii="华文细黑" w:hAnsi="华文细黑" w:eastAsia="华文细黑"/>
                <w:szCs w:val="21"/>
              </w:rPr>
              <w:t>×</w:t>
            </w:r>
            <w:r>
              <w:rPr>
                <w:rFonts w:ascii="华文细黑" w:hAnsi="华文细黑" w:eastAsia="华文细黑"/>
                <w:szCs w:val="21"/>
              </w:rPr>
              <w:t>55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端面槽刀</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6</w:t>
            </w:r>
            <w:r>
              <w:rPr>
                <w:rFonts w:hint="eastAsia" w:ascii="华文细黑" w:hAnsi="华文细黑" w:eastAsia="华文细黑"/>
                <w:szCs w:val="21"/>
              </w:rPr>
              <w:t>×15×（Ф8</w:t>
            </w:r>
            <w:r>
              <w:rPr>
                <w:rFonts w:ascii="华文细黑" w:hAnsi="华文细黑" w:eastAsia="华文细黑"/>
                <w:szCs w:val="21"/>
              </w:rPr>
              <w:t>0</w:t>
            </w:r>
            <w:r>
              <w:rPr>
                <w:rFonts w:hint="eastAsia" w:ascii="华文细黑" w:hAnsi="华文细黑" w:eastAsia="华文细黑"/>
                <w:szCs w:val="21"/>
              </w:rPr>
              <w:t>～1</w:t>
            </w:r>
            <w:r>
              <w:rPr>
                <w:rFonts w:ascii="华文细黑" w:hAnsi="华文细黑" w:eastAsia="华文细黑"/>
                <w:szCs w:val="21"/>
              </w:rPr>
              <w:t>05</w:t>
            </w:r>
            <w:r>
              <w:rPr>
                <w:rFonts w:hint="eastAsia" w:ascii="华文细黑" w:hAnsi="华文细黑" w:eastAsia="华文细黑"/>
                <w:szCs w:val="21"/>
              </w:rPr>
              <w:t>）</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镗孔刀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23</w:t>
            </w:r>
            <w:r>
              <w:rPr>
                <w:rFonts w:hint="eastAsia" w:ascii="华文细黑" w:hAnsi="华文细黑" w:eastAsia="华文细黑"/>
                <w:szCs w:val="21"/>
              </w:rPr>
              <w:t>X</w:t>
            </w:r>
            <w:r>
              <w:rPr>
                <w:rFonts w:ascii="华文细黑" w:hAnsi="华文细黑" w:eastAsia="华文细黑"/>
                <w:szCs w:val="21"/>
              </w:rPr>
              <w:t>55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镗孔刀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Ф2</w:t>
            </w:r>
            <w:r>
              <w:rPr>
                <w:rFonts w:ascii="华文细黑" w:hAnsi="华文细黑" w:eastAsia="华文细黑"/>
                <w:szCs w:val="21"/>
              </w:rPr>
              <w:t>3</w:t>
            </w:r>
            <w:r>
              <w:rPr>
                <w:rFonts w:hint="eastAsia" w:ascii="华文细黑" w:hAnsi="华文细黑" w:eastAsia="华文细黑"/>
                <w:szCs w:val="21"/>
              </w:rPr>
              <w:t>X</w:t>
            </w:r>
            <w:r>
              <w:rPr>
                <w:rFonts w:ascii="华文细黑" w:hAnsi="华文细黑" w:eastAsia="华文细黑"/>
                <w:szCs w:val="21"/>
              </w:rPr>
              <w:t>85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29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镗孔刀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37</w:t>
            </w:r>
            <w:r>
              <w:rPr>
                <w:rFonts w:hint="eastAsia" w:ascii="华文细黑" w:hAnsi="华文细黑" w:eastAsia="华文细黑"/>
                <w:szCs w:val="21"/>
              </w:rPr>
              <w:t>X</w:t>
            </w:r>
            <w:r>
              <w:rPr>
                <w:rFonts w:ascii="华文细黑" w:hAnsi="华文细黑" w:eastAsia="华文细黑"/>
                <w:szCs w:val="21"/>
              </w:rPr>
              <w:t>75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镗孔刀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35</w:t>
            </w:r>
            <w:r>
              <w:rPr>
                <w:rFonts w:hint="eastAsia" w:ascii="华文细黑" w:hAnsi="华文细黑" w:eastAsia="华文细黑"/>
                <w:szCs w:val="21"/>
              </w:rPr>
              <w:t>X</w:t>
            </w:r>
            <w:r>
              <w:rPr>
                <w:rFonts w:ascii="华文细黑" w:hAnsi="华文细黑" w:eastAsia="华文细黑"/>
                <w:szCs w:val="21"/>
              </w:rPr>
              <w:t>40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镗孔刀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44</w:t>
            </w:r>
            <w:r>
              <w:rPr>
                <w:rFonts w:hint="eastAsia" w:ascii="华文细黑" w:hAnsi="华文细黑" w:eastAsia="华文细黑"/>
                <w:szCs w:val="21"/>
              </w:rPr>
              <w:t>X</w:t>
            </w:r>
            <w:r>
              <w:rPr>
                <w:rFonts w:ascii="华文细黑" w:hAnsi="华文细黑" w:eastAsia="华文细黑"/>
                <w:szCs w:val="21"/>
              </w:rPr>
              <w:t>55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镗孔刀</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75</w:t>
            </w:r>
            <w:r>
              <w:rPr>
                <w:rFonts w:hint="eastAsia" w:ascii="华文细黑" w:hAnsi="华文细黑" w:eastAsia="华文细黑"/>
                <w:szCs w:val="21"/>
              </w:rPr>
              <w:t>X</w:t>
            </w:r>
            <w:r>
              <w:rPr>
                <w:rFonts w:ascii="华文细黑" w:hAnsi="华文细黑" w:eastAsia="华文细黑"/>
                <w:szCs w:val="21"/>
              </w:rPr>
              <w:t>60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外梯形螺纹车刀</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30</w:t>
            </w:r>
            <w:r>
              <w:rPr>
                <w:rFonts w:hint="eastAsia" w:ascii="华文细黑" w:hAnsi="华文细黑" w:eastAsia="华文细黑"/>
                <w:szCs w:val="21"/>
              </w:rPr>
              <w:t>°，Tr（4</w:t>
            </w:r>
            <w:r>
              <w:rPr>
                <w:rFonts w:ascii="华文细黑" w:hAnsi="华文细黑" w:eastAsia="华文细黑"/>
                <w:szCs w:val="21"/>
              </w:rPr>
              <w:t>8</w:t>
            </w:r>
            <w:r>
              <w:rPr>
                <w:rFonts w:hint="eastAsia" w:ascii="华文细黑" w:hAnsi="华文细黑" w:eastAsia="华文细黑"/>
                <w:szCs w:val="21"/>
              </w:rPr>
              <w:t>～5</w:t>
            </w:r>
            <w:r>
              <w:rPr>
                <w:rFonts w:ascii="华文细黑" w:hAnsi="华文细黑" w:eastAsia="华文细黑"/>
                <w:szCs w:val="21"/>
              </w:rPr>
              <w:t>2</w:t>
            </w:r>
            <w:r>
              <w:rPr>
                <w:rFonts w:hint="eastAsia" w:ascii="华文细黑" w:hAnsi="华文细黑" w:eastAsia="华文细黑"/>
                <w:szCs w:val="21"/>
              </w:rPr>
              <w:t>）X</w:t>
            </w:r>
            <w:r>
              <w:rPr>
                <w:rFonts w:ascii="华文细黑" w:hAnsi="华文细黑" w:eastAsia="华文细黑"/>
                <w:szCs w:val="21"/>
              </w:rPr>
              <w:t>8</w:t>
            </w:r>
            <w:r>
              <w:rPr>
                <w:rFonts w:hint="eastAsia" w:ascii="华文细黑" w:hAnsi="华文细黑" w:eastAsia="华文细黑"/>
                <w:szCs w:val="21"/>
              </w:rPr>
              <w:t>（P</w:t>
            </w:r>
            <w:r>
              <w:rPr>
                <w:rFonts w:ascii="华文细黑" w:hAnsi="华文细黑" w:eastAsia="华文细黑"/>
                <w:szCs w:val="21"/>
              </w:rPr>
              <w:t>4</w:t>
            </w:r>
            <w:r>
              <w:rPr>
                <w:rFonts w:hint="eastAsia" w:ascii="华文细黑" w:hAnsi="华文细黑" w:eastAsia="华文细黑"/>
                <w:szCs w:val="21"/>
              </w:rPr>
              <w:t>）</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内梯形螺纹车刀</w:t>
            </w:r>
          </w:p>
        </w:tc>
        <w:tc>
          <w:tcPr>
            <w:tcW w:w="1701" w:type="dxa"/>
            <w:vAlign w:val="center"/>
          </w:tcPr>
          <w:p>
            <w:pPr>
              <w:jc w:val="center"/>
              <w:rPr>
                <w:rFonts w:ascii="华文细黑" w:hAnsi="华文细黑" w:eastAsia="华文细黑"/>
                <w:szCs w:val="21"/>
              </w:rPr>
            </w:pPr>
            <w:r>
              <w:rPr>
                <w:rFonts w:ascii="华文细黑" w:hAnsi="华文细黑" w:eastAsia="华文细黑"/>
                <w:szCs w:val="21"/>
              </w:rPr>
              <w:t>30</w:t>
            </w:r>
            <w:r>
              <w:rPr>
                <w:rFonts w:hint="eastAsia" w:ascii="华文细黑" w:hAnsi="华文细黑" w:eastAsia="华文细黑"/>
                <w:szCs w:val="21"/>
              </w:rPr>
              <w:t>°，Tr（4</w:t>
            </w:r>
            <w:r>
              <w:rPr>
                <w:rFonts w:ascii="华文细黑" w:hAnsi="华文细黑" w:eastAsia="华文细黑"/>
                <w:szCs w:val="21"/>
              </w:rPr>
              <w:t>8</w:t>
            </w:r>
            <w:r>
              <w:rPr>
                <w:rFonts w:hint="eastAsia" w:ascii="华文细黑" w:hAnsi="华文细黑" w:eastAsia="华文细黑"/>
                <w:szCs w:val="21"/>
              </w:rPr>
              <w:t>～5</w:t>
            </w:r>
            <w:r>
              <w:rPr>
                <w:rFonts w:ascii="华文细黑" w:hAnsi="华文细黑" w:eastAsia="华文细黑"/>
                <w:szCs w:val="21"/>
              </w:rPr>
              <w:t>2</w:t>
            </w:r>
            <w:r>
              <w:rPr>
                <w:rFonts w:hint="eastAsia" w:ascii="华文细黑" w:hAnsi="华文细黑" w:eastAsia="华文细黑"/>
                <w:szCs w:val="21"/>
              </w:rPr>
              <w:t>）X</w:t>
            </w:r>
            <w:r>
              <w:rPr>
                <w:rFonts w:ascii="华文细黑" w:hAnsi="华文细黑" w:eastAsia="华文细黑"/>
                <w:szCs w:val="21"/>
              </w:rPr>
              <w:t>8</w:t>
            </w:r>
            <w:r>
              <w:rPr>
                <w:rFonts w:hint="eastAsia" w:ascii="华文细黑" w:hAnsi="华文细黑" w:eastAsia="华文细黑"/>
                <w:szCs w:val="21"/>
              </w:rPr>
              <w:t>（P</w:t>
            </w:r>
            <w:r>
              <w:rPr>
                <w:rFonts w:ascii="华文细黑" w:hAnsi="华文细黑" w:eastAsia="华文细黑"/>
                <w:szCs w:val="21"/>
              </w:rPr>
              <w:t>4</w:t>
            </w:r>
            <w:r>
              <w:rPr>
                <w:rFonts w:hint="eastAsia" w:ascii="华文细黑" w:hAnsi="华文细黑" w:eastAsia="华文细黑"/>
                <w:szCs w:val="21"/>
              </w:rPr>
              <w:t>）X</w:t>
            </w:r>
            <w:r>
              <w:rPr>
                <w:rFonts w:ascii="华文细黑" w:hAnsi="华文细黑" w:eastAsia="华文细黑"/>
                <w:szCs w:val="21"/>
              </w:rPr>
              <w:t>60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tcPr>
          <w:p>
            <w:pPr>
              <w:jc w:val="center"/>
              <w:rPr>
                <w:rFonts w:ascii="华文细黑" w:hAnsi="华文细黑" w:eastAsia="华文细黑"/>
                <w:szCs w:val="21"/>
              </w:rPr>
            </w:pPr>
            <w:r>
              <w:rPr>
                <w:rFonts w:hint="eastAsia" w:ascii="华文细黑" w:hAnsi="华文细黑" w:eastAsia="华文细黑"/>
                <w:szCs w:val="21"/>
              </w:rPr>
              <w:t>与外梯形螺纹配合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45</w:t>
            </w:r>
            <w:r>
              <w:rPr>
                <w:rFonts w:ascii="华文细黑" w:hAnsi="华文细黑" w:eastAsia="华文细黑" w:cs="Calibri"/>
                <w:szCs w:val="21"/>
              </w:rPr>
              <w:t>º</w:t>
            </w:r>
            <w:r>
              <w:rPr>
                <w:rFonts w:hint="eastAsia" w:ascii="华文细黑" w:hAnsi="华文细黑" w:eastAsia="华文细黑"/>
                <w:szCs w:val="21"/>
              </w:rPr>
              <w:t>内孔倒角刀</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麻花钻</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23</w:t>
            </w:r>
            <w:r>
              <w:rPr>
                <w:rFonts w:hint="eastAsia" w:ascii="华文细黑" w:hAnsi="华文细黑" w:eastAsia="华文细黑"/>
                <w:szCs w:val="21"/>
              </w:rPr>
              <w:t>X</w:t>
            </w:r>
            <w:r>
              <w:rPr>
                <w:rFonts w:ascii="华文细黑" w:hAnsi="华文细黑" w:eastAsia="华文细黑"/>
                <w:szCs w:val="21"/>
              </w:rPr>
              <w:t>120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麻花钻</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35</w:t>
            </w:r>
            <w:r>
              <w:rPr>
                <w:rFonts w:hint="eastAsia" w:ascii="华文细黑" w:hAnsi="华文细黑" w:eastAsia="华文细黑"/>
                <w:szCs w:val="21"/>
              </w:rPr>
              <w:t>X</w:t>
            </w:r>
            <w:r>
              <w:rPr>
                <w:rFonts w:ascii="华文细黑" w:hAnsi="华文细黑" w:eastAsia="华文细黑"/>
                <w:szCs w:val="21"/>
              </w:rPr>
              <w:t>45</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麻花钻</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37</w:t>
            </w:r>
            <w:r>
              <w:rPr>
                <w:rFonts w:hint="eastAsia" w:ascii="华文细黑" w:hAnsi="华文细黑" w:eastAsia="华文细黑"/>
                <w:szCs w:val="21"/>
              </w:rPr>
              <w:t>X</w:t>
            </w:r>
            <w:r>
              <w:rPr>
                <w:rFonts w:ascii="华文细黑" w:hAnsi="华文细黑" w:eastAsia="华文细黑"/>
                <w:szCs w:val="21"/>
              </w:rPr>
              <w:t>8</w:t>
            </w:r>
            <w:r>
              <w:rPr>
                <w:rFonts w:hint="eastAsia" w:ascii="华文细黑" w:hAnsi="华文细黑" w:eastAsia="华文细黑"/>
                <w:szCs w:val="21"/>
              </w:rPr>
              <w:t>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tcPr>
          <w:p>
            <w:pPr>
              <w:jc w:val="left"/>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39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麻花钻</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50</w:t>
            </w:r>
            <w:r>
              <w:rPr>
                <w:rFonts w:hint="eastAsia" w:ascii="华文细黑" w:hAnsi="华文细黑" w:eastAsia="华文细黑"/>
                <w:szCs w:val="21"/>
              </w:rPr>
              <w:t>X</w:t>
            </w:r>
            <w:r>
              <w:rPr>
                <w:rFonts w:ascii="华文细黑" w:hAnsi="华文细黑" w:eastAsia="华文细黑"/>
                <w:szCs w:val="21"/>
              </w:rPr>
              <w:t>7</w:t>
            </w:r>
            <w:r>
              <w:rPr>
                <w:rFonts w:hint="eastAsia" w:ascii="华文细黑" w:hAnsi="华文细黑" w:eastAsia="华文细黑"/>
                <w:szCs w:val="21"/>
              </w:rPr>
              <w:t>0</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tcPr>
          <w:p>
            <w:pPr>
              <w:jc w:val="left"/>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麻花钻</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M</w:t>
            </w:r>
            <w:r>
              <w:rPr>
                <w:rFonts w:ascii="华文细黑" w:hAnsi="华文细黑" w:eastAsia="华文细黑"/>
                <w:szCs w:val="21"/>
              </w:rPr>
              <w:t>4,M8</w:t>
            </w:r>
            <w:r>
              <w:rPr>
                <w:rFonts w:hint="eastAsia" w:ascii="华文细黑" w:hAnsi="华文细黑" w:eastAsia="华文细黑"/>
                <w:szCs w:val="21"/>
              </w:rPr>
              <w:t>螺纹底孔</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各1</w:t>
            </w:r>
          </w:p>
        </w:tc>
        <w:tc>
          <w:tcPr>
            <w:tcW w:w="2335" w:type="dxa"/>
            <w:vAlign w:val="center"/>
          </w:tcPr>
          <w:p>
            <w:pPr>
              <w:jc w:val="left"/>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丝锥</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M</w:t>
            </w:r>
            <w:r>
              <w:rPr>
                <w:rFonts w:ascii="华文细黑" w:hAnsi="华文细黑" w:eastAsia="华文细黑"/>
                <w:szCs w:val="21"/>
              </w:rPr>
              <w:t>4,M8</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各1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锉刀、砂布</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rPr>
                <w:rFonts w:ascii="华文细黑" w:hAnsi="华文细黑" w:eastAsia="华文细黑"/>
                <w:szCs w:val="21"/>
              </w:rPr>
            </w:pPr>
            <w:r>
              <w:rPr>
                <w:rFonts w:hint="eastAsia" w:ascii="华文细黑" w:hAnsi="华文细黑" w:eastAsia="华文细黑"/>
                <w:szCs w:val="21"/>
              </w:rPr>
              <w:t>仅限加工圆弧（R</w:t>
            </w:r>
            <w:r>
              <w:rPr>
                <w:rFonts w:ascii="华文细黑" w:hAnsi="华文细黑" w:eastAsia="华文细黑"/>
                <w:szCs w:val="21"/>
              </w:rPr>
              <w:t>7.5</w:t>
            </w:r>
            <w:r>
              <w:rPr>
                <w:rFonts w:hint="eastAsia" w:ascii="华文细黑" w:hAnsi="华文细黑" w:eastAsia="华文细黑"/>
                <w:szCs w:val="21"/>
              </w:rPr>
              <w:t>）使用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铰杠</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M</w:t>
            </w:r>
            <w:r>
              <w:rPr>
                <w:rFonts w:ascii="华文细黑" w:hAnsi="华文细黑" w:eastAsia="华文细黑"/>
                <w:szCs w:val="21"/>
              </w:rPr>
              <w:t>4,M8</w:t>
            </w:r>
            <w:r>
              <w:rPr>
                <w:rFonts w:hint="eastAsia" w:ascii="华文细黑" w:hAnsi="华文细黑" w:eastAsia="华文细黑"/>
                <w:szCs w:val="21"/>
              </w:rPr>
              <w:t>丝锥用</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中心钻</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B3</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钻夹头</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1～13</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莫氏变径套</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2</w:t>
            </w:r>
            <w:r>
              <w:rPr>
                <w:rFonts w:hint="eastAsia" w:ascii="华文细黑" w:hAnsi="华文细黑" w:eastAsia="华文细黑"/>
                <w:szCs w:val="21"/>
                <w:vertAlign w:val="superscript"/>
              </w:rPr>
              <w:t>#</w:t>
            </w:r>
            <w:r>
              <w:rPr>
                <w:rFonts w:hint="eastAsia" w:ascii="华文细黑" w:hAnsi="华文细黑" w:eastAsia="华文细黑"/>
                <w:szCs w:val="21"/>
              </w:rPr>
              <w:t>～5</w:t>
            </w:r>
            <w:r>
              <w:rPr>
                <w:rFonts w:hint="eastAsia" w:ascii="华文细黑" w:hAnsi="华文细黑" w:eastAsia="华文细黑"/>
                <w:szCs w:val="21"/>
                <w:vertAlign w:val="superscript"/>
              </w:rPr>
              <w:t>#</w:t>
            </w: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顶尖</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铜垫块、刚</w:t>
            </w:r>
          </w:p>
          <w:p>
            <w:pPr>
              <w:jc w:val="center"/>
              <w:rPr>
                <w:rFonts w:ascii="华文细黑" w:hAnsi="华文细黑" w:eastAsia="华文细黑"/>
                <w:szCs w:val="21"/>
              </w:rPr>
            </w:pPr>
            <w:r>
              <w:rPr>
                <w:rFonts w:hint="eastAsia" w:ascii="华文细黑" w:hAnsi="华文细黑" w:eastAsia="华文细黑"/>
                <w:szCs w:val="21"/>
              </w:rPr>
              <w:t>性垫块、开口套</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49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铜皮</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车刀垫片</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斜铁</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1套</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铜棒</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找正工件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活动扳手</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呆扳手</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调整锥度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螺丝刀</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w:t>
            </w:r>
            <w:r>
              <w:rPr>
                <w:rFonts w:ascii="华文细黑" w:hAnsi="华文细黑" w:eastAsia="华文细黑"/>
                <w:szCs w:val="21"/>
              </w:rPr>
              <w:t>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内六角扳手</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1套</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w:t>
            </w:r>
            <w:r>
              <w:rPr>
                <w:rFonts w:ascii="华文细黑" w:hAnsi="华文细黑" w:eastAsia="华文细黑"/>
                <w:szCs w:val="21"/>
              </w:rPr>
              <w:t>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弹簧式外</w:t>
            </w:r>
          </w:p>
          <w:p>
            <w:pPr>
              <w:jc w:val="center"/>
              <w:rPr>
                <w:rFonts w:ascii="华文细黑" w:hAnsi="华文细黑" w:eastAsia="华文细黑"/>
                <w:szCs w:val="21"/>
              </w:rPr>
            </w:pPr>
            <w:r>
              <w:rPr>
                <w:rFonts w:hint="eastAsia" w:ascii="华文细黑" w:hAnsi="华文细黑" w:eastAsia="华文细黑"/>
                <w:szCs w:val="21"/>
              </w:rPr>
              <w:t>用挡圈钳</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w:t>
            </w:r>
            <w:r>
              <w:rPr>
                <w:rFonts w:ascii="华文细黑" w:hAnsi="华文细黑" w:eastAsia="华文细黑"/>
                <w:szCs w:val="21"/>
              </w:rPr>
              <w:t>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红丹粉</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若干</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5</w:t>
            </w:r>
            <w:r>
              <w:rPr>
                <w:rFonts w:ascii="华文细黑" w:hAnsi="华文细黑" w:eastAsia="华文细黑"/>
                <w:szCs w:val="21"/>
              </w:rPr>
              <w:t>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油石</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锉刀</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自定</w:t>
            </w: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去毛刺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1</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毛刷</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2</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函数计算器</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3</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机械工人</w:t>
            </w:r>
          </w:p>
          <w:p>
            <w:pPr>
              <w:jc w:val="center"/>
              <w:rPr>
                <w:rFonts w:ascii="华文细黑" w:hAnsi="华文细黑" w:eastAsia="华文细黑"/>
                <w:szCs w:val="21"/>
              </w:rPr>
            </w:pPr>
            <w:r>
              <w:rPr>
                <w:rFonts w:hint="eastAsia" w:ascii="华文细黑" w:hAnsi="华文细黑" w:eastAsia="华文细黑"/>
                <w:szCs w:val="21"/>
              </w:rPr>
              <w:t>切削手册</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r>
              <w:rPr>
                <w:rFonts w:hint="eastAsia" w:ascii="华文细黑" w:hAnsi="华文细黑" w:eastAsia="华文细黑"/>
                <w:szCs w:val="21"/>
              </w:rPr>
              <w:t>1本</w:t>
            </w:r>
          </w:p>
        </w:tc>
        <w:tc>
          <w:tcPr>
            <w:tcW w:w="2335" w:type="dxa"/>
            <w:vAlign w:val="center"/>
          </w:tcPr>
          <w:p>
            <w:pPr>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ascii="华文细黑" w:hAnsi="华文细黑" w:eastAsia="华文细黑"/>
                <w:szCs w:val="21"/>
              </w:rPr>
              <w:t>64</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连杆</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该件预制见图2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5</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曲柄轴</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该件预制见图</w:t>
            </w:r>
            <w:r>
              <w:rPr>
                <w:rFonts w:ascii="华文细黑" w:hAnsi="华文细黑" w:eastAsia="华文细黑"/>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6</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支撑板</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该件预制见图</w:t>
            </w:r>
            <w:r>
              <w:rPr>
                <w:rFonts w:ascii="华文细黑" w:hAnsi="华文细黑" w:eastAsia="华文细黑"/>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ascii="华文细黑" w:hAnsi="华文细黑" w:eastAsia="华文细黑"/>
                <w:szCs w:val="21"/>
              </w:rPr>
              <w:t>67</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摇柄</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该件预制见图</w:t>
            </w:r>
            <w:r>
              <w:rPr>
                <w:rFonts w:ascii="华文细黑" w:hAnsi="华文细黑" w:eastAsia="华文细黑"/>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8</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手柄</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该件预制见图</w:t>
            </w:r>
            <w:r>
              <w:rPr>
                <w:rFonts w:ascii="华文细黑" w:hAnsi="华文细黑" w:eastAsia="华文细黑"/>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6</w:t>
            </w:r>
            <w:r>
              <w:rPr>
                <w:rFonts w:ascii="华文细黑" w:hAnsi="华文细黑" w:eastAsia="华文细黑"/>
                <w:szCs w:val="21"/>
              </w:rPr>
              <w:t>9</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吸水阀</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该件预制见图</w:t>
            </w:r>
            <w:r>
              <w:rPr>
                <w:rFonts w:ascii="华文细黑" w:hAnsi="华文细黑" w:eastAsia="华文细黑"/>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79" w:type="dxa"/>
            <w:vAlign w:val="center"/>
          </w:tcPr>
          <w:p>
            <w:pPr>
              <w:jc w:val="center"/>
              <w:rPr>
                <w:rFonts w:ascii="华文细黑" w:hAnsi="华文细黑" w:eastAsia="华文细黑"/>
                <w:szCs w:val="21"/>
              </w:rPr>
            </w:pPr>
            <w:r>
              <w:rPr>
                <w:rFonts w:hint="eastAsia" w:ascii="华文细黑" w:hAnsi="华文细黑" w:eastAsia="华文细黑"/>
                <w:szCs w:val="21"/>
              </w:rPr>
              <w:t>70</w:t>
            </w:r>
          </w:p>
        </w:tc>
        <w:tc>
          <w:tcPr>
            <w:tcW w:w="1701" w:type="dxa"/>
            <w:vAlign w:val="center"/>
          </w:tcPr>
          <w:p>
            <w:pPr>
              <w:jc w:val="center"/>
              <w:rPr>
                <w:rFonts w:ascii="华文细黑" w:hAnsi="华文细黑" w:eastAsia="华文细黑"/>
                <w:szCs w:val="21"/>
              </w:rPr>
            </w:pPr>
            <w:r>
              <w:rPr>
                <w:rFonts w:hint="eastAsia" w:ascii="华文细黑" w:hAnsi="华文细黑" w:eastAsia="华文细黑"/>
                <w:szCs w:val="21"/>
              </w:rPr>
              <w:t>件4垫圈、件8销轴、件15轴端挡圈、标准件</w:t>
            </w:r>
          </w:p>
        </w:tc>
        <w:tc>
          <w:tcPr>
            <w:tcW w:w="1701" w:type="dxa"/>
            <w:vAlign w:val="center"/>
          </w:tcPr>
          <w:p>
            <w:pPr>
              <w:jc w:val="center"/>
              <w:rPr>
                <w:rFonts w:ascii="华文细黑" w:hAnsi="华文细黑" w:eastAsia="华文细黑"/>
                <w:szCs w:val="21"/>
              </w:rPr>
            </w:pPr>
          </w:p>
        </w:tc>
        <w:tc>
          <w:tcPr>
            <w:tcW w:w="850" w:type="dxa"/>
            <w:vAlign w:val="center"/>
          </w:tcPr>
          <w:p>
            <w:pPr>
              <w:jc w:val="center"/>
              <w:rPr>
                <w:rFonts w:ascii="华文细黑" w:hAnsi="华文细黑" w:eastAsia="华文细黑"/>
                <w:szCs w:val="21"/>
              </w:rPr>
            </w:pPr>
          </w:p>
        </w:tc>
        <w:tc>
          <w:tcPr>
            <w:tcW w:w="709" w:type="dxa"/>
            <w:vAlign w:val="center"/>
          </w:tcPr>
          <w:p>
            <w:pPr>
              <w:jc w:val="center"/>
              <w:rPr>
                <w:rFonts w:ascii="华文细黑" w:hAnsi="华文细黑" w:eastAsia="华文细黑"/>
                <w:szCs w:val="21"/>
              </w:rPr>
            </w:pPr>
          </w:p>
        </w:tc>
        <w:tc>
          <w:tcPr>
            <w:tcW w:w="2335" w:type="dxa"/>
            <w:vAlign w:val="center"/>
          </w:tcPr>
          <w:p>
            <w:pPr>
              <w:jc w:val="center"/>
              <w:rPr>
                <w:rFonts w:ascii="华文细黑" w:hAnsi="华文细黑" w:eastAsia="华文细黑"/>
                <w:szCs w:val="21"/>
              </w:rPr>
            </w:pPr>
            <w:r>
              <w:rPr>
                <w:rFonts w:hint="eastAsia" w:ascii="华文细黑" w:hAnsi="华文细黑" w:eastAsia="华文细黑"/>
                <w:szCs w:val="21"/>
              </w:rPr>
              <w:t>自带</w:t>
            </w:r>
          </w:p>
        </w:tc>
      </w:tr>
    </w:tbl>
    <w:p>
      <w:pPr>
        <w:spacing w:before="156" w:beforeLines="50"/>
        <w:jc w:val="left"/>
        <w:rPr>
          <w:rFonts w:ascii="Calibri" w:hAnsi="Calibri" w:eastAsia="华文细黑"/>
          <w:sz w:val="24"/>
        </w:rPr>
      </w:pPr>
      <w:r>
        <w:rPr>
          <w:rFonts w:hint="eastAsia" w:ascii="Calibri" w:hAnsi="Calibri" w:eastAsia="华文细黑"/>
          <w:sz w:val="24"/>
        </w:rPr>
        <w:t>注：本清单工、量具作为参考，不得使用二类工、量、辅具。</w:t>
      </w:r>
    </w:p>
    <w:p>
      <w:pPr>
        <w:spacing w:before="156" w:beforeLines="50"/>
        <w:jc w:val="left"/>
        <w:rPr>
          <w:rFonts w:ascii="Calibri" w:hAnsi="Calibri" w:eastAsia="华文细黑"/>
          <w:sz w:val="24"/>
        </w:rPr>
      </w:pPr>
    </w:p>
    <w:p>
      <w:pPr>
        <w:spacing w:before="156" w:beforeLines="50"/>
        <w:jc w:val="left"/>
        <w:rPr>
          <w:rFonts w:ascii="Calibri" w:hAnsi="Calibri" w:eastAsia="华文细黑"/>
          <w:sz w:val="24"/>
        </w:rPr>
      </w:pPr>
    </w:p>
    <w:p>
      <w:pPr>
        <w:spacing w:before="156" w:beforeLines="50"/>
        <w:jc w:val="left"/>
        <w:rPr>
          <w:rFonts w:ascii="Calibri" w:hAnsi="Calibri" w:eastAsia="华文细黑"/>
          <w:sz w:val="24"/>
        </w:rPr>
      </w:pPr>
    </w:p>
    <w:p>
      <w:pPr>
        <w:spacing w:before="156" w:beforeLines="50"/>
        <w:jc w:val="center"/>
        <w:rPr>
          <w:rFonts w:ascii="华文细黑" w:hAnsi="华文细黑" w:eastAsia="华文细黑"/>
          <w:b/>
          <w:bCs/>
          <w:sz w:val="24"/>
        </w:rPr>
      </w:pPr>
      <w:r>
        <w:rPr>
          <w:rFonts w:hint="eastAsia" w:ascii="华文细黑" w:hAnsi="华文细黑" w:eastAsia="华文细黑"/>
          <w:b/>
          <w:bCs/>
          <w:sz w:val="24"/>
        </w:rPr>
        <w:t>表</w:t>
      </w:r>
      <w:r>
        <w:rPr>
          <w:rFonts w:ascii="华文细黑" w:hAnsi="华文细黑" w:eastAsia="华文细黑"/>
          <w:b/>
          <w:bCs/>
          <w:sz w:val="24"/>
        </w:rPr>
        <w:t>4</w:t>
      </w:r>
      <w:r>
        <w:rPr>
          <w:rFonts w:hint="eastAsia" w:ascii="华文细黑" w:hAnsi="华文细黑" w:eastAsia="华文细黑"/>
          <w:b/>
          <w:bCs/>
          <w:sz w:val="24"/>
        </w:rPr>
        <w:t>.  车工实操赛场准备清单</w:t>
      </w:r>
    </w:p>
    <w:tbl>
      <w:tblPr>
        <w:tblStyle w:val="13"/>
        <w:tblW w:w="82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0"/>
        <w:gridCol w:w="1620"/>
        <w:gridCol w:w="2479"/>
        <w:gridCol w:w="1481"/>
        <w:gridCol w:w="17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910" w:type="dxa"/>
            <w:vAlign w:val="center"/>
          </w:tcPr>
          <w:p>
            <w:pPr>
              <w:jc w:val="center"/>
              <w:rPr>
                <w:rFonts w:ascii="华文细黑" w:hAnsi="华文细黑" w:eastAsia="华文细黑"/>
                <w:b/>
                <w:szCs w:val="21"/>
              </w:rPr>
            </w:pPr>
            <w:r>
              <w:rPr>
                <w:rFonts w:hint="eastAsia" w:ascii="华文细黑" w:hAnsi="华文细黑" w:eastAsia="华文细黑"/>
                <w:b/>
                <w:szCs w:val="21"/>
              </w:rPr>
              <w:t>序号</w:t>
            </w:r>
          </w:p>
        </w:tc>
        <w:tc>
          <w:tcPr>
            <w:tcW w:w="1620" w:type="dxa"/>
            <w:vAlign w:val="center"/>
          </w:tcPr>
          <w:p>
            <w:pPr>
              <w:jc w:val="center"/>
              <w:rPr>
                <w:rFonts w:ascii="华文细黑" w:hAnsi="华文细黑" w:eastAsia="华文细黑"/>
                <w:b/>
                <w:szCs w:val="21"/>
              </w:rPr>
            </w:pPr>
            <w:r>
              <w:rPr>
                <w:rFonts w:hint="eastAsia" w:ascii="华文细黑" w:hAnsi="华文细黑" w:eastAsia="华文细黑"/>
                <w:b/>
                <w:szCs w:val="21"/>
              </w:rPr>
              <w:t>名称</w:t>
            </w:r>
          </w:p>
        </w:tc>
        <w:tc>
          <w:tcPr>
            <w:tcW w:w="2479" w:type="dxa"/>
            <w:vAlign w:val="center"/>
          </w:tcPr>
          <w:p>
            <w:pPr>
              <w:jc w:val="center"/>
              <w:rPr>
                <w:rFonts w:ascii="华文细黑" w:hAnsi="华文细黑" w:eastAsia="华文细黑"/>
                <w:b/>
                <w:szCs w:val="21"/>
              </w:rPr>
            </w:pPr>
            <w:r>
              <w:rPr>
                <w:rFonts w:hint="eastAsia" w:ascii="华文细黑" w:hAnsi="华文细黑" w:eastAsia="华文细黑"/>
                <w:b/>
                <w:szCs w:val="21"/>
              </w:rPr>
              <w:t>规格</w:t>
            </w:r>
          </w:p>
        </w:tc>
        <w:tc>
          <w:tcPr>
            <w:tcW w:w="1481" w:type="dxa"/>
            <w:vAlign w:val="center"/>
          </w:tcPr>
          <w:p>
            <w:pPr>
              <w:jc w:val="center"/>
              <w:rPr>
                <w:rFonts w:ascii="华文细黑" w:hAnsi="华文细黑" w:eastAsia="华文细黑"/>
                <w:b/>
                <w:szCs w:val="21"/>
              </w:rPr>
            </w:pPr>
            <w:r>
              <w:rPr>
                <w:rFonts w:hint="eastAsia" w:ascii="华文细黑" w:hAnsi="华文细黑" w:eastAsia="华文细黑"/>
                <w:b/>
                <w:szCs w:val="21"/>
              </w:rPr>
              <w:t>数量</w:t>
            </w:r>
          </w:p>
        </w:tc>
        <w:tc>
          <w:tcPr>
            <w:tcW w:w="1754" w:type="dxa"/>
            <w:vAlign w:val="center"/>
          </w:tcPr>
          <w:p>
            <w:pPr>
              <w:jc w:val="center"/>
              <w:rPr>
                <w:rFonts w:ascii="华文细黑" w:hAnsi="华文细黑" w:eastAsia="华文细黑"/>
                <w:b/>
                <w:szCs w:val="21"/>
              </w:rPr>
            </w:pPr>
            <w:r>
              <w:rPr>
                <w:rFonts w:hint="eastAsia" w:ascii="华文细黑" w:hAnsi="华文细黑" w:eastAsia="华文细黑"/>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车床</w:t>
            </w:r>
          </w:p>
        </w:tc>
        <w:tc>
          <w:tcPr>
            <w:tcW w:w="2479"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待定</w:t>
            </w: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3</w:t>
            </w:r>
            <w:r>
              <w:rPr>
                <w:rFonts w:ascii="华文细黑" w:hAnsi="华文细黑" w:eastAsia="华文细黑"/>
                <w:szCs w:val="21"/>
              </w:rPr>
              <w:t>5</w:t>
            </w:r>
            <w:r>
              <w:rPr>
                <w:rFonts w:hint="eastAsia" w:ascii="华文细黑" w:hAnsi="华文细黑" w:eastAsia="华文细黑"/>
                <w:szCs w:val="21"/>
              </w:rPr>
              <w:t>台</w:t>
            </w:r>
          </w:p>
        </w:tc>
        <w:tc>
          <w:tcPr>
            <w:tcW w:w="1754" w:type="dxa"/>
            <w:vAlign w:val="center"/>
          </w:tcPr>
          <w:p>
            <w:pPr>
              <w:spacing w:line="360" w:lineRule="auto"/>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2</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四爪卡盘</w:t>
            </w:r>
          </w:p>
        </w:tc>
        <w:tc>
          <w:tcPr>
            <w:tcW w:w="2479"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Ф250</w:t>
            </w: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1个/台</w:t>
            </w:r>
          </w:p>
        </w:tc>
        <w:tc>
          <w:tcPr>
            <w:tcW w:w="1754" w:type="dxa"/>
            <w:vAlign w:val="center"/>
          </w:tcPr>
          <w:p>
            <w:pPr>
              <w:spacing w:line="360" w:lineRule="auto"/>
              <w:ind w:left="210" w:firstLine="420" w:firstLineChars="200"/>
              <w:rPr>
                <w:rFonts w:hint="eastAsia"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3</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卡盘扳手</w:t>
            </w:r>
          </w:p>
        </w:tc>
        <w:tc>
          <w:tcPr>
            <w:tcW w:w="2479" w:type="dxa"/>
            <w:vAlign w:val="center"/>
          </w:tcPr>
          <w:p>
            <w:pPr>
              <w:spacing w:line="360" w:lineRule="auto"/>
              <w:ind w:firstLine="420" w:firstLineChars="200"/>
              <w:jc w:val="center"/>
              <w:rPr>
                <w:rFonts w:ascii="华文细黑" w:hAnsi="华文细黑" w:eastAsia="华文细黑"/>
                <w:szCs w:val="21"/>
              </w:rPr>
            </w:pP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1把/台</w:t>
            </w:r>
          </w:p>
        </w:tc>
        <w:tc>
          <w:tcPr>
            <w:tcW w:w="1754" w:type="dxa"/>
            <w:vAlign w:val="center"/>
          </w:tcPr>
          <w:p>
            <w:pPr>
              <w:spacing w:line="360" w:lineRule="auto"/>
              <w:ind w:firstLine="420" w:firstLineChars="200"/>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4</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刀架扳手</w:t>
            </w:r>
          </w:p>
        </w:tc>
        <w:tc>
          <w:tcPr>
            <w:tcW w:w="2479" w:type="dxa"/>
            <w:vAlign w:val="center"/>
          </w:tcPr>
          <w:p>
            <w:pPr>
              <w:spacing w:line="360" w:lineRule="auto"/>
              <w:ind w:firstLine="420" w:firstLineChars="200"/>
              <w:jc w:val="center"/>
              <w:rPr>
                <w:rFonts w:ascii="华文细黑" w:hAnsi="华文细黑" w:eastAsia="华文细黑"/>
                <w:szCs w:val="21"/>
              </w:rPr>
            </w:pP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1把/台</w:t>
            </w:r>
          </w:p>
        </w:tc>
        <w:tc>
          <w:tcPr>
            <w:tcW w:w="1754" w:type="dxa"/>
            <w:vAlign w:val="center"/>
          </w:tcPr>
          <w:p>
            <w:pPr>
              <w:spacing w:line="360" w:lineRule="auto"/>
              <w:ind w:firstLine="420" w:firstLineChars="200"/>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5</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扳手套筒</w:t>
            </w:r>
          </w:p>
        </w:tc>
        <w:tc>
          <w:tcPr>
            <w:tcW w:w="2479" w:type="dxa"/>
            <w:vAlign w:val="center"/>
          </w:tcPr>
          <w:p>
            <w:pPr>
              <w:spacing w:line="360" w:lineRule="auto"/>
              <w:ind w:firstLine="420" w:firstLineChars="200"/>
              <w:jc w:val="center"/>
              <w:rPr>
                <w:rFonts w:ascii="华文细黑" w:hAnsi="华文细黑" w:eastAsia="华文细黑"/>
                <w:szCs w:val="21"/>
              </w:rPr>
            </w:pP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1把/台</w:t>
            </w:r>
          </w:p>
        </w:tc>
        <w:tc>
          <w:tcPr>
            <w:tcW w:w="1754" w:type="dxa"/>
            <w:vAlign w:val="center"/>
          </w:tcPr>
          <w:p>
            <w:pPr>
              <w:spacing w:line="360" w:lineRule="auto"/>
              <w:ind w:firstLine="420" w:firstLineChars="200"/>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6</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铁钩</w:t>
            </w:r>
          </w:p>
        </w:tc>
        <w:tc>
          <w:tcPr>
            <w:tcW w:w="2479" w:type="dxa"/>
            <w:vAlign w:val="center"/>
          </w:tcPr>
          <w:p>
            <w:pPr>
              <w:spacing w:line="360" w:lineRule="auto"/>
              <w:ind w:firstLine="420" w:firstLineChars="200"/>
              <w:jc w:val="center"/>
              <w:rPr>
                <w:rFonts w:ascii="华文细黑" w:hAnsi="华文细黑" w:eastAsia="华文细黑"/>
                <w:szCs w:val="21"/>
              </w:rPr>
            </w:pP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1把/台</w:t>
            </w:r>
          </w:p>
        </w:tc>
        <w:tc>
          <w:tcPr>
            <w:tcW w:w="1754"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清除切屑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7</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平板</w:t>
            </w:r>
          </w:p>
        </w:tc>
        <w:tc>
          <w:tcPr>
            <w:tcW w:w="2479" w:type="dxa"/>
            <w:vAlign w:val="center"/>
          </w:tcPr>
          <w:p>
            <w:pPr>
              <w:spacing w:line="360" w:lineRule="auto"/>
              <w:jc w:val="center"/>
              <w:rPr>
                <w:rFonts w:ascii="华文细黑" w:hAnsi="华文细黑" w:eastAsia="华文细黑"/>
                <w:szCs w:val="21"/>
              </w:rPr>
            </w:pPr>
            <w:r>
              <w:rPr>
                <w:rFonts w:ascii="华文细黑" w:hAnsi="华文细黑" w:eastAsia="华文细黑"/>
                <w:szCs w:val="21"/>
              </w:rPr>
              <w:t>30</w:t>
            </w:r>
            <w:r>
              <w:rPr>
                <w:rFonts w:hint="eastAsia" w:ascii="华文细黑" w:hAnsi="华文细黑" w:eastAsia="华文细黑"/>
                <w:szCs w:val="21"/>
              </w:rPr>
              <w:t>0×</w:t>
            </w:r>
            <w:r>
              <w:rPr>
                <w:rFonts w:ascii="华文细黑" w:hAnsi="华文细黑" w:eastAsia="华文细黑"/>
                <w:szCs w:val="21"/>
              </w:rPr>
              <w:t>3</w:t>
            </w:r>
            <w:r>
              <w:rPr>
                <w:rFonts w:hint="eastAsia" w:ascii="华文细黑" w:hAnsi="华文细黑" w:eastAsia="华文细黑"/>
                <w:szCs w:val="21"/>
              </w:rPr>
              <w:t>00</w:t>
            </w:r>
          </w:p>
        </w:tc>
        <w:tc>
          <w:tcPr>
            <w:tcW w:w="1481" w:type="dxa"/>
            <w:vAlign w:val="center"/>
          </w:tcPr>
          <w:p>
            <w:pPr>
              <w:spacing w:line="360" w:lineRule="auto"/>
              <w:jc w:val="center"/>
              <w:rPr>
                <w:rFonts w:ascii="华文细黑" w:hAnsi="华文细黑" w:eastAsia="华文细黑"/>
                <w:szCs w:val="21"/>
              </w:rPr>
            </w:pPr>
            <w:r>
              <w:rPr>
                <w:rFonts w:ascii="华文细黑" w:hAnsi="华文细黑" w:eastAsia="华文细黑"/>
                <w:szCs w:val="21"/>
              </w:rPr>
              <w:t>6</w:t>
            </w:r>
            <w:r>
              <w:rPr>
                <w:rFonts w:hint="eastAsia" w:ascii="华文细黑" w:hAnsi="华文细黑" w:eastAsia="华文细黑"/>
                <w:szCs w:val="21"/>
              </w:rPr>
              <w:t>块</w:t>
            </w:r>
          </w:p>
        </w:tc>
        <w:tc>
          <w:tcPr>
            <w:tcW w:w="1754"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划线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8</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高度尺</w:t>
            </w:r>
          </w:p>
        </w:tc>
        <w:tc>
          <w:tcPr>
            <w:tcW w:w="2479"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300</w:t>
            </w:r>
          </w:p>
        </w:tc>
        <w:tc>
          <w:tcPr>
            <w:tcW w:w="1481" w:type="dxa"/>
            <w:vAlign w:val="center"/>
          </w:tcPr>
          <w:p>
            <w:pPr>
              <w:spacing w:line="360" w:lineRule="auto"/>
              <w:jc w:val="center"/>
              <w:rPr>
                <w:rFonts w:ascii="华文细黑" w:hAnsi="华文细黑" w:eastAsia="华文细黑"/>
                <w:szCs w:val="21"/>
              </w:rPr>
            </w:pPr>
            <w:r>
              <w:rPr>
                <w:rFonts w:ascii="华文细黑" w:hAnsi="华文细黑" w:eastAsia="华文细黑"/>
                <w:szCs w:val="21"/>
              </w:rPr>
              <w:t>6</w:t>
            </w:r>
            <w:r>
              <w:rPr>
                <w:rFonts w:hint="eastAsia" w:ascii="华文细黑" w:hAnsi="华文细黑" w:eastAsia="华文细黑"/>
                <w:szCs w:val="21"/>
              </w:rPr>
              <w:t>把</w:t>
            </w:r>
          </w:p>
        </w:tc>
        <w:tc>
          <w:tcPr>
            <w:tcW w:w="1754"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划线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9</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切削液</w:t>
            </w:r>
          </w:p>
        </w:tc>
        <w:tc>
          <w:tcPr>
            <w:tcW w:w="2479" w:type="dxa"/>
            <w:vAlign w:val="center"/>
          </w:tcPr>
          <w:p>
            <w:pPr>
              <w:spacing w:line="360" w:lineRule="auto"/>
              <w:ind w:firstLine="420" w:firstLineChars="200"/>
              <w:rPr>
                <w:rFonts w:ascii="华文细黑" w:hAnsi="华文细黑" w:eastAsia="华文细黑"/>
                <w:szCs w:val="21"/>
              </w:rPr>
            </w:pPr>
          </w:p>
        </w:tc>
        <w:tc>
          <w:tcPr>
            <w:tcW w:w="1481" w:type="dxa"/>
            <w:vAlign w:val="center"/>
          </w:tcPr>
          <w:p>
            <w:pPr>
              <w:spacing w:line="360" w:lineRule="auto"/>
              <w:ind w:firstLine="420" w:firstLineChars="200"/>
              <w:rPr>
                <w:rFonts w:ascii="华文细黑" w:hAnsi="华文细黑" w:eastAsia="华文细黑"/>
                <w:szCs w:val="21"/>
              </w:rPr>
            </w:pPr>
          </w:p>
        </w:tc>
        <w:tc>
          <w:tcPr>
            <w:tcW w:w="1754"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机床备足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10</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润滑油</w:t>
            </w:r>
          </w:p>
        </w:tc>
        <w:tc>
          <w:tcPr>
            <w:tcW w:w="2479" w:type="dxa"/>
            <w:vAlign w:val="center"/>
          </w:tcPr>
          <w:p>
            <w:pPr>
              <w:spacing w:line="360" w:lineRule="auto"/>
              <w:ind w:firstLine="420" w:firstLineChars="200"/>
              <w:rPr>
                <w:rFonts w:ascii="华文细黑" w:hAnsi="华文细黑" w:eastAsia="华文细黑"/>
                <w:szCs w:val="21"/>
              </w:rPr>
            </w:pPr>
          </w:p>
        </w:tc>
        <w:tc>
          <w:tcPr>
            <w:tcW w:w="1481" w:type="dxa"/>
            <w:vAlign w:val="center"/>
          </w:tcPr>
          <w:p>
            <w:pPr>
              <w:spacing w:line="360" w:lineRule="auto"/>
              <w:ind w:firstLine="420" w:firstLineChars="200"/>
              <w:jc w:val="center"/>
              <w:rPr>
                <w:rFonts w:ascii="华文细黑" w:hAnsi="华文细黑" w:eastAsia="华文细黑"/>
                <w:szCs w:val="21"/>
              </w:rPr>
            </w:pPr>
          </w:p>
        </w:tc>
        <w:tc>
          <w:tcPr>
            <w:tcW w:w="1754" w:type="dxa"/>
            <w:vAlign w:val="center"/>
          </w:tcPr>
          <w:p>
            <w:pPr>
              <w:spacing w:line="360" w:lineRule="auto"/>
              <w:ind w:firstLine="420" w:firstLineChars="200"/>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11</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砂轮机</w:t>
            </w:r>
          </w:p>
        </w:tc>
        <w:tc>
          <w:tcPr>
            <w:tcW w:w="2479" w:type="dxa"/>
            <w:vAlign w:val="center"/>
          </w:tcPr>
          <w:p>
            <w:pPr>
              <w:spacing w:line="360" w:lineRule="auto"/>
              <w:ind w:firstLine="420" w:firstLineChars="200"/>
              <w:rPr>
                <w:rFonts w:ascii="华文细黑" w:hAnsi="华文细黑" w:eastAsia="华文细黑"/>
                <w:szCs w:val="21"/>
              </w:rPr>
            </w:pP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6台</w:t>
            </w:r>
          </w:p>
        </w:tc>
        <w:tc>
          <w:tcPr>
            <w:tcW w:w="1754" w:type="dxa"/>
            <w:vAlign w:val="center"/>
          </w:tcPr>
          <w:p>
            <w:pPr>
              <w:spacing w:line="360" w:lineRule="auto"/>
              <w:ind w:firstLine="420" w:firstLineChars="200"/>
              <w:jc w:val="center"/>
              <w:rPr>
                <w:rFonts w:ascii="华文细黑" w:hAnsi="华文细黑" w:eastAsia="华文细黑"/>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1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12</w:t>
            </w:r>
          </w:p>
        </w:tc>
        <w:tc>
          <w:tcPr>
            <w:tcW w:w="1620"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坯料</w:t>
            </w:r>
          </w:p>
        </w:tc>
        <w:tc>
          <w:tcPr>
            <w:tcW w:w="2479" w:type="dxa"/>
            <w:vAlign w:val="center"/>
          </w:tcPr>
          <w:p>
            <w:pPr>
              <w:spacing w:line="360" w:lineRule="auto"/>
              <w:rPr>
                <w:rFonts w:ascii="华文细黑" w:hAnsi="华文细黑" w:eastAsia="华文细黑"/>
                <w:szCs w:val="21"/>
              </w:rPr>
            </w:pPr>
            <w:r>
              <w:rPr>
                <w:rFonts w:hint="eastAsia" w:ascii="华文细黑" w:hAnsi="华文细黑" w:eastAsia="华文细黑"/>
                <w:szCs w:val="21"/>
              </w:rPr>
              <w:t>Ф</w:t>
            </w:r>
            <w:r>
              <w:rPr>
                <w:rFonts w:ascii="华文细黑" w:hAnsi="华文细黑" w:eastAsia="华文细黑"/>
                <w:szCs w:val="21"/>
              </w:rPr>
              <w:t>130</w:t>
            </w:r>
            <w:r>
              <w:rPr>
                <w:rFonts w:hint="eastAsia" w:ascii="华文细黑" w:hAnsi="华文细黑" w:eastAsia="华文细黑"/>
                <w:szCs w:val="21"/>
              </w:rPr>
              <w:t>X</w:t>
            </w:r>
            <w:r>
              <w:rPr>
                <w:rFonts w:ascii="华文细黑" w:hAnsi="华文细黑" w:eastAsia="华文细黑"/>
                <w:szCs w:val="21"/>
              </w:rPr>
              <w:t>140</w:t>
            </w:r>
            <w:r>
              <w:rPr>
                <w:rFonts w:hint="eastAsia" w:ascii="华文细黑" w:hAnsi="华文细黑" w:eastAsia="华文细黑"/>
                <w:szCs w:val="21"/>
              </w:rPr>
              <w:t>,Ф</w:t>
            </w:r>
            <w:r>
              <w:rPr>
                <w:rFonts w:ascii="华文细黑" w:hAnsi="华文细黑" w:eastAsia="华文细黑"/>
                <w:szCs w:val="21"/>
              </w:rPr>
              <w:t>85</w:t>
            </w:r>
            <w:r>
              <w:rPr>
                <w:rFonts w:hint="eastAsia" w:ascii="华文细黑" w:hAnsi="华文细黑" w:eastAsia="华文细黑"/>
                <w:szCs w:val="21"/>
              </w:rPr>
              <w:t>X</w:t>
            </w:r>
            <w:r>
              <w:rPr>
                <w:rFonts w:ascii="华文细黑" w:hAnsi="华文细黑" w:eastAsia="华文细黑"/>
                <w:szCs w:val="21"/>
              </w:rPr>
              <w:t>210</w:t>
            </w:r>
          </w:p>
        </w:tc>
        <w:tc>
          <w:tcPr>
            <w:tcW w:w="1481"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各1块/人</w:t>
            </w:r>
          </w:p>
        </w:tc>
        <w:tc>
          <w:tcPr>
            <w:tcW w:w="1754" w:type="dxa"/>
            <w:vAlign w:val="center"/>
          </w:tcPr>
          <w:p>
            <w:pPr>
              <w:spacing w:line="360" w:lineRule="auto"/>
              <w:jc w:val="center"/>
              <w:rPr>
                <w:rFonts w:ascii="华文细黑" w:hAnsi="华文细黑" w:eastAsia="华文细黑"/>
                <w:szCs w:val="21"/>
              </w:rPr>
            </w:pPr>
            <w:r>
              <w:rPr>
                <w:rFonts w:hint="eastAsia" w:ascii="华文细黑" w:hAnsi="华文细黑" w:eastAsia="华文细黑"/>
                <w:szCs w:val="21"/>
              </w:rPr>
              <w:t>45钢</w:t>
            </w:r>
          </w:p>
        </w:tc>
      </w:tr>
    </w:tbl>
    <w:p>
      <w:pPr>
        <w:spacing w:before="156" w:beforeLines="50" w:after="156" w:afterLines="50" w:line="360" w:lineRule="auto"/>
        <w:rPr>
          <w:rFonts w:ascii="黑体" w:hAnsi="黑体" w:eastAsia="黑体" w:cs="黑体"/>
          <w:b/>
          <w:bCs/>
          <w:sz w:val="30"/>
          <w:szCs w:val="30"/>
        </w:rPr>
      </w:pPr>
      <w:r>
        <w:rPr>
          <w:rFonts w:ascii="黑体" w:hAnsi="黑体" w:eastAsia="黑体" w:cs="黑体"/>
          <w:b/>
          <w:bCs/>
          <w:sz w:val="30"/>
          <w:szCs w:val="30"/>
        </w:rPr>
        <w:drawing>
          <wp:inline distT="0" distB="0" distL="0" distR="0">
            <wp:extent cx="5716905" cy="77597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 cstate="print">
                      <a:extLst>
                        <a:ext uri="{28A0092B-C50C-407E-A947-70E740481C1C}">
                          <a14:useLocalDpi xmlns:a14="http://schemas.microsoft.com/office/drawing/2010/main" val="0"/>
                        </a:ext>
                      </a:extLst>
                    </a:blip>
                    <a:srcRect l="7023" t="9381" r="8214" b="9258"/>
                    <a:stretch>
                      <a:fillRect/>
                    </a:stretch>
                  </pic:blipFill>
                  <pic:spPr>
                    <a:xfrm>
                      <a:off x="0" y="0"/>
                      <a:ext cx="5720892" cy="7765289"/>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w:t>
      </w:r>
      <w:r>
        <w:rPr>
          <w:rFonts w:ascii="华文细黑" w:hAnsi="华文细黑" w:eastAsia="华文细黑"/>
          <w:sz w:val="24"/>
          <w:szCs w:val="28"/>
        </w:rPr>
        <w:t>2</w:t>
      </w:r>
      <w:r>
        <w:rPr>
          <w:rFonts w:hint="eastAsia" w:ascii="华文细黑" w:hAnsi="华文细黑" w:eastAsia="华文细黑"/>
          <w:sz w:val="24"/>
          <w:szCs w:val="28"/>
        </w:rPr>
        <w:t>.  连杆</w:t>
      </w:r>
    </w:p>
    <w:p>
      <w:pPr>
        <w:spacing w:before="156" w:beforeLines="50" w:after="156" w:afterLines="50" w:line="360" w:lineRule="auto"/>
        <w:rPr>
          <w:rFonts w:ascii="黑体" w:hAnsi="黑体" w:eastAsia="黑体" w:cs="黑体"/>
          <w:b/>
          <w:bCs/>
          <w:sz w:val="30"/>
          <w:szCs w:val="30"/>
        </w:rPr>
      </w:pPr>
    </w:p>
    <w:p>
      <w:pPr>
        <w:spacing w:before="156" w:beforeLines="50" w:after="156" w:afterLines="50" w:line="360" w:lineRule="auto"/>
        <w:rPr>
          <w:rFonts w:ascii="黑体" w:hAnsi="黑体" w:eastAsia="黑体" w:cs="黑体"/>
          <w:b/>
          <w:bCs/>
          <w:sz w:val="30"/>
          <w:szCs w:val="30"/>
        </w:rPr>
      </w:pPr>
      <w:r>
        <w:rPr>
          <w:rFonts w:ascii="黑体" w:hAnsi="黑体" w:eastAsia="黑体" w:cs="黑体"/>
          <w:b/>
          <w:bCs/>
          <w:sz w:val="30"/>
          <w:szCs w:val="30"/>
        </w:rPr>
        <w:drawing>
          <wp:inline distT="0" distB="0" distL="0" distR="0">
            <wp:extent cx="5577840" cy="7685405"/>
            <wp:effectExtent l="0" t="0" r="381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cstate="print">
                      <a:extLst>
                        <a:ext uri="{28A0092B-C50C-407E-A947-70E740481C1C}">
                          <a14:useLocalDpi xmlns:a14="http://schemas.microsoft.com/office/drawing/2010/main" val="0"/>
                        </a:ext>
                      </a:extLst>
                    </a:blip>
                    <a:srcRect l="7023" t="8829" r="8693" b="9046"/>
                    <a:stretch>
                      <a:fillRect/>
                    </a:stretch>
                  </pic:blipFill>
                  <pic:spPr>
                    <a:xfrm>
                      <a:off x="0" y="0"/>
                      <a:ext cx="5581411" cy="7690571"/>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w:t>
      </w:r>
      <w:r>
        <w:rPr>
          <w:rFonts w:ascii="华文细黑" w:hAnsi="华文细黑" w:eastAsia="华文细黑"/>
          <w:sz w:val="24"/>
          <w:szCs w:val="28"/>
        </w:rPr>
        <w:t>3</w:t>
      </w:r>
      <w:r>
        <w:rPr>
          <w:rFonts w:hint="eastAsia" w:ascii="华文细黑" w:hAnsi="华文细黑" w:eastAsia="华文细黑"/>
          <w:sz w:val="24"/>
          <w:szCs w:val="28"/>
        </w:rPr>
        <w:t>.  曲柄轴</w:t>
      </w:r>
    </w:p>
    <w:p>
      <w:pPr>
        <w:spacing w:before="156" w:beforeLines="50" w:after="156" w:afterLines="50" w:line="360" w:lineRule="auto"/>
        <w:rPr>
          <w:rFonts w:ascii="黑体" w:hAnsi="黑体" w:eastAsia="黑体" w:cs="黑体"/>
          <w:b/>
          <w:bCs/>
          <w:sz w:val="30"/>
          <w:szCs w:val="30"/>
        </w:rPr>
      </w:pPr>
    </w:p>
    <w:p>
      <w:pPr>
        <w:spacing w:before="156" w:beforeLines="50" w:after="156" w:afterLines="50" w:line="360" w:lineRule="auto"/>
        <w:rPr>
          <w:rFonts w:ascii="黑体" w:hAnsi="黑体" w:eastAsia="黑体" w:cs="黑体"/>
          <w:b/>
          <w:bCs/>
          <w:sz w:val="30"/>
          <w:szCs w:val="30"/>
        </w:rPr>
      </w:pPr>
      <w:r>
        <w:rPr>
          <w:rFonts w:ascii="黑体" w:hAnsi="黑体" w:eastAsia="黑体" w:cs="黑体"/>
          <w:b/>
          <w:bCs/>
          <w:sz w:val="30"/>
          <w:szCs w:val="30"/>
        </w:rPr>
        <w:drawing>
          <wp:inline distT="0" distB="0" distL="0" distR="0">
            <wp:extent cx="5626100" cy="761111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cstate="print">
                      <a:extLst>
                        <a:ext uri="{28A0092B-C50C-407E-A947-70E740481C1C}">
                          <a14:useLocalDpi xmlns:a14="http://schemas.microsoft.com/office/drawing/2010/main" val="0"/>
                        </a:ext>
                      </a:extLst>
                    </a:blip>
                    <a:srcRect l="6242" t="9271" r="7904" b="8596"/>
                    <a:stretch>
                      <a:fillRect/>
                    </a:stretch>
                  </pic:blipFill>
                  <pic:spPr>
                    <a:xfrm>
                      <a:off x="0" y="0"/>
                      <a:ext cx="5630871" cy="7617609"/>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w:t>
      </w:r>
      <w:r>
        <w:rPr>
          <w:rFonts w:ascii="华文细黑" w:hAnsi="华文细黑" w:eastAsia="华文细黑"/>
          <w:sz w:val="24"/>
          <w:szCs w:val="28"/>
        </w:rPr>
        <w:t>4</w:t>
      </w:r>
      <w:r>
        <w:rPr>
          <w:rFonts w:hint="eastAsia" w:ascii="华文细黑" w:hAnsi="华文细黑" w:eastAsia="华文细黑"/>
          <w:sz w:val="24"/>
          <w:szCs w:val="28"/>
        </w:rPr>
        <w:t>.  支撑板</w:t>
      </w:r>
    </w:p>
    <w:p>
      <w:pPr>
        <w:spacing w:before="156" w:beforeLines="50" w:after="156" w:afterLines="50" w:line="360" w:lineRule="auto"/>
        <w:rPr>
          <w:rFonts w:ascii="黑体" w:hAnsi="黑体" w:eastAsia="黑体" w:cs="黑体"/>
          <w:b/>
          <w:bCs/>
          <w:sz w:val="30"/>
          <w:szCs w:val="30"/>
        </w:rPr>
      </w:pPr>
    </w:p>
    <w:p>
      <w:pPr>
        <w:spacing w:before="156" w:beforeLines="50" w:after="156" w:afterLines="50" w:line="360" w:lineRule="auto"/>
        <w:rPr>
          <w:rFonts w:ascii="黑体" w:hAnsi="黑体" w:eastAsia="黑体" w:cs="黑体"/>
          <w:b/>
          <w:bCs/>
          <w:sz w:val="30"/>
          <w:szCs w:val="30"/>
        </w:rPr>
      </w:pPr>
      <w:r>
        <w:rPr>
          <w:rFonts w:ascii="黑体" w:hAnsi="黑体" w:eastAsia="黑体" w:cs="黑体"/>
          <w:b/>
          <w:bCs/>
          <w:sz w:val="30"/>
          <w:szCs w:val="30"/>
        </w:rPr>
        <w:drawing>
          <wp:inline distT="0" distB="0" distL="0" distR="0">
            <wp:extent cx="5576570" cy="7583170"/>
            <wp:effectExtent l="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cstate="print">
                      <a:extLst>
                        <a:ext uri="{28A0092B-C50C-407E-A947-70E740481C1C}">
                          <a14:useLocalDpi xmlns:a14="http://schemas.microsoft.com/office/drawing/2010/main" val="0"/>
                        </a:ext>
                      </a:extLst>
                    </a:blip>
                    <a:srcRect l="7179" t="9160" r="7757" b="9046"/>
                    <a:stretch>
                      <a:fillRect/>
                    </a:stretch>
                  </pic:blipFill>
                  <pic:spPr>
                    <a:xfrm>
                      <a:off x="0" y="0"/>
                      <a:ext cx="5579919" cy="7587298"/>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w:t>
      </w:r>
      <w:r>
        <w:rPr>
          <w:rFonts w:ascii="华文细黑" w:hAnsi="华文细黑" w:eastAsia="华文细黑"/>
          <w:sz w:val="24"/>
          <w:szCs w:val="28"/>
        </w:rPr>
        <w:t>5</w:t>
      </w:r>
      <w:r>
        <w:rPr>
          <w:rFonts w:hint="eastAsia" w:ascii="华文细黑" w:hAnsi="华文细黑" w:eastAsia="华文细黑"/>
          <w:sz w:val="24"/>
          <w:szCs w:val="28"/>
        </w:rPr>
        <w:t>.  摇柄</w:t>
      </w:r>
    </w:p>
    <w:p>
      <w:pPr>
        <w:spacing w:before="156" w:beforeLines="50" w:after="156" w:afterLines="50" w:line="360" w:lineRule="auto"/>
        <w:rPr>
          <w:rFonts w:ascii="黑体" w:hAnsi="黑体" w:eastAsia="黑体" w:cs="黑体"/>
          <w:b/>
          <w:bCs/>
          <w:sz w:val="30"/>
          <w:szCs w:val="30"/>
        </w:rPr>
      </w:pPr>
    </w:p>
    <w:p>
      <w:pPr>
        <w:spacing w:before="156" w:beforeLines="50" w:after="156" w:afterLines="50" w:line="360" w:lineRule="auto"/>
        <w:rPr>
          <w:rFonts w:ascii="黑体" w:hAnsi="黑体" w:eastAsia="黑体" w:cs="黑体"/>
          <w:b/>
          <w:bCs/>
          <w:sz w:val="30"/>
          <w:szCs w:val="30"/>
        </w:rPr>
      </w:pPr>
      <w:r>
        <w:rPr>
          <w:rFonts w:ascii="黑体" w:hAnsi="黑体" w:eastAsia="黑体" w:cs="黑体"/>
          <w:b/>
          <w:bCs/>
          <w:sz w:val="30"/>
          <w:szCs w:val="30"/>
        </w:rPr>
        <w:drawing>
          <wp:inline distT="0" distB="0" distL="0" distR="0">
            <wp:extent cx="5576570" cy="7643495"/>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cstate="print">
                      <a:extLst>
                        <a:ext uri="{28A0092B-C50C-407E-A947-70E740481C1C}">
                          <a14:useLocalDpi xmlns:a14="http://schemas.microsoft.com/office/drawing/2010/main" val="0"/>
                        </a:ext>
                      </a:extLst>
                    </a:blip>
                    <a:srcRect l="7024" t="8719" r="8366" b="9274"/>
                    <a:stretch>
                      <a:fillRect/>
                    </a:stretch>
                  </pic:blipFill>
                  <pic:spPr>
                    <a:xfrm>
                      <a:off x="0" y="0"/>
                      <a:ext cx="5582064" cy="7650641"/>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w:t>
      </w:r>
      <w:r>
        <w:rPr>
          <w:rFonts w:ascii="华文细黑" w:hAnsi="华文细黑" w:eastAsia="华文细黑"/>
          <w:sz w:val="24"/>
          <w:szCs w:val="28"/>
        </w:rPr>
        <w:t>6</w:t>
      </w:r>
      <w:r>
        <w:rPr>
          <w:rFonts w:hint="eastAsia" w:ascii="华文细黑" w:hAnsi="华文细黑" w:eastAsia="华文细黑"/>
          <w:sz w:val="24"/>
          <w:szCs w:val="28"/>
        </w:rPr>
        <w:t>.  手柄</w:t>
      </w:r>
    </w:p>
    <w:p>
      <w:pPr>
        <w:spacing w:before="156" w:beforeLines="50" w:after="156" w:afterLines="50" w:line="360" w:lineRule="auto"/>
        <w:rPr>
          <w:rFonts w:ascii="黑体" w:hAnsi="黑体" w:eastAsia="黑体" w:cs="黑体"/>
          <w:b/>
          <w:bCs/>
          <w:sz w:val="30"/>
          <w:szCs w:val="30"/>
        </w:rPr>
      </w:pPr>
    </w:p>
    <w:p>
      <w:pPr>
        <w:spacing w:before="156" w:beforeLines="50" w:after="156" w:afterLines="50" w:line="360" w:lineRule="auto"/>
        <w:rPr>
          <w:rFonts w:ascii="黑体" w:hAnsi="黑体" w:eastAsia="黑体" w:cs="黑体"/>
          <w:b/>
          <w:bCs/>
          <w:sz w:val="30"/>
          <w:szCs w:val="30"/>
        </w:rPr>
      </w:pPr>
      <w:r>
        <w:rPr>
          <w:rFonts w:ascii="黑体" w:hAnsi="黑体" w:eastAsia="黑体" w:cs="黑体"/>
          <w:b/>
          <w:bCs/>
          <w:sz w:val="30"/>
          <w:szCs w:val="30"/>
        </w:rPr>
        <w:drawing>
          <wp:inline distT="0" distB="0" distL="0" distR="0">
            <wp:extent cx="5370830" cy="7406640"/>
            <wp:effectExtent l="0" t="0" r="1270" b="381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3" cstate="print">
                      <a:extLst>
                        <a:ext uri="{28A0092B-C50C-407E-A947-70E740481C1C}">
                          <a14:useLocalDpi xmlns:a14="http://schemas.microsoft.com/office/drawing/2010/main" val="0"/>
                        </a:ext>
                      </a:extLst>
                    </a:blip>
                    <a:srcRect l="7023" t="9050" r="8538" b="8604"/>
                    <a:stretch>
                      <a:fillRect/>
                    </a:stretch>
                  </pic:blipFill>
                  <pic:spPr>
                    <a:xfrm>
                      <a:off x="0" y="0"/>
                      <a:ext cx="5373949" cy="7410936"/>
                    </a:xfrm>
                    <a:prstGeom prst="rect">
                      <a:avLst/>
                    </a:prstGeom>
                    <a:ln>
                      <a:noFill/>
                    </a:ln>
                  </pic:spPr>
                </pic:pic>
              </a:graphicData>
            </a:graphic>
          </wp:inline>
        </w:drawing>
      </w:r>
    </w:p>
    <w:p>
      <w:pPr>
        <w:tabs>
          <w:tab w:val="left" w:pos="540"/>
        </w:tabs>
        <w:spacing w:line="360" w:lineRule="auto"/>
        <w:jc w:val="center"/>
        <w:rPr>
          <w:rFonts w:ascii="华文细黑" w:hAnsi="华文细黑" w:eastAsia="华文细黑"/>
          <w:sz w:val="24"/>
          <w:szCs w:val="28"/>
        </w:rPr>
      </w:pPr>
      <w:r>
        <w:rPr>
          <w:rFonts w:hint="eastAsia" w:ascii="华文细黑" w:hAnsi="华文细黑" w:eastAsia="华文细黑"/>
          <w:sz w:val="24"/>
          <w:szCs w:val="28"/>
        </w:rPr>
        <w:t>图</w:t>
      </w:r>
      <w:r>
        <w:rPr>
          <w:rFonts w:ascii="华文细黑" w:hAnsi="华文细黑" w:eastAsia="华文细黑"/>
          <w:sz w:val="24"/>
          <w:szCs w:val="28"/>
        </w:rPr>
        <w:t>7</w:t>
      </w:r>
      <w:r>
        <w:rPr>
          <w:rFonts w:hint="eastAsia" w:ascii="华文细黑" w:hAnsi="华文细黑" w:eastAsia="华文细黑"/>
          <w:sz w:val="24"/>
          <w:szCs w:val="28"/>
        </w:rPr>
        <w:t>.  吸水阀</w:t>
      </w:r>
    </w:p>
    <w:p>
      <w:pPr>
        <w:spacing w:before="156" w:beforeLines="50" w:after="156" w:afterLines="50" w:line="360" w:lineRule="auto"/>
        <w:rPr>
          <w:rFonts w:ascii="黑体" w:hAnsi="黑体" w:eastAsia="黑体" w:cs="黑体"/>
          <w:b/>
          <w:bCs/>
          <w:sz w:val="30"/>
          <w:szCs w:val="30"/>
        </w:rPr>
      </w:pPr>
    </w:p>
    <w:p>
      <w:pPr>
        <w:spacing w:before="156" w:beforeLines="50" w:after="156" w:afterLines="50" w:line="360" w:lineRule="auto"/>
        <w:ind w:firstLine="602" w:firstLineChars="200"/>
        <w:rPr>
          <w:rFonts w:ascii="仿宋" w:hAnsi="仿宋" w:eastAsia="仿宋"/>
          <w:b/>
          <w:bCs/>
          <w:sz w:val="28"/>
          <w:szCs w:val="28"/>
        </w:rPr>
      </w:pPr>
      <w:r>
        <w:rPr>
          <w:rFonts w:hint="eastAsia" w:ascii="黑体" w:hAnsi="黑体" w:eastAsia="黑体" w:cs="黑体"/>
          <w:b/>
          <w:bCs/>
          <w:sz w:val="30"/>
          <w:szCs w:val="30"/>
        </w:rPr>
        <w:t>五、竞赛安全</w:t>
      </w:r>
    </w:p>
    <w:p>
      <w:pPr>
        <w:spacing w:line="360" w:lineRule="auto"/>
        <w:ind w:firstLine="480" w:firstLineChars="200"/>
        <w:rPr>
          <w:rFonts w:ascii="Calibri" w:hAnsi="Calibri" w:eastAsia="华文细黑"/>
          <w:b/>
          <w:bCs/>
          <w:sz w:val="24"/>
        </w:rPr>
      </w:pPr>
      <w:r>
        <w:rPr>
          <w:rFonts w:hint="eastAsia" w:ascii="Calibri" w:hAnsi="Calibri" w:eastAsia="华文细黑"/>
          <w:b/>
          <w:bCs/>
          <w:sz w:val="24"/>
        </w:rPr>
        <w:t>（一）赛场安全</w:t>
      </w:r>
    </w:p>
    <w:p>
      <w:pPr>
        <w:ind w:firstLine="480"/>
        <w:rPr>
          <w:rFonts w:ascii="Calibri" w:hAnsi="Calibri" w:eastAsia="华文细黑"/>
          <w:sz w:val="24"/>
          <w:lang w:val="zh-CN"/>
        </w:rPr>
      </w:pPr>
      <w:r>
        <w:rPr>
          <w:rFonts w:hint="eastAsia" w:ascii="Calibri" w:hAnsi="Calibri" w:eastAsia="华文细黑"/>
          <w:sz w:val="24"/>
          <w:lang w:val="zh-CN"/>
        </w:rPr>
        <w:t>1.赛场所有人员（赛场管理与组织人员、裁判员、参赛人员以及观摩人员）不得在竞赛现场内外吸烟，不听劝阻者将通报批评或清退比赛现场，造成严重后果者将依法处理。</w:t>
      </w:r>
    </w:p>
    <w:p>
      <w:pPr>
        <w:ind w:firstLine="480"/>
        <w:rPr>
          <w:rFonts w:ascii="Calibri" w:hAnsi="Calibri" w:eastAsia="华文细黑"/>
          <w:sz w:val="24"/>
          <w:lang w:val="zh-CN"/>
        </w:rPr>
      </w:pPr>
      <w:r>
        <w:rPr>
          <w:rFonts w:hint="eastAsia" w:ascii="Calibri" w:hAnsi="Calibri" w:eastAsia="华文细黑"/>
          <w:sz w:val="24"/>
          <w:lang w:val="zh-CN"/>
        </w:rPr>
        <w:t>2.未经允许不得使用和移动竞赛场内的任何设施设备（包括消防器材等），工具使用后放回原处。</w:t>
      </w:r>
    </w:p>
    <w:p>
      <w:pPr>
        <w:ind w:firstLine="480"/>
        <w:rPr>
          <w:rFonts w:ascii="Calibri" w:hAnsi="Calibri" w:eastAsia="华文细黑"/>
          <w:sz w:val="24"/>
          <w:lang w:val="zh-CN"/>
        </w:rPr>
      </w:pPr>
      <w:r>
        <w:rPr>
          <w:rFonts w:hint="eastAsia" w:ascii="Calibri" w:hAnsi="Calibri" w:eastAsia="华文细黑"/>
          <w:sz w:val="24"/>
          <w:lang w:val="zh-CN"/>
        </w:rPr>
        <w:t>3.选手在竞赛中必须遵守赛场的各项规章制度和操作规程，安全、合理的使用各种设施设备和工具，出现严重违规操作设备的，裁判视情节轻重进行批评指正或终止比赛。</w:t>
      </w:r>
    </w:p>
    <w:p>
      <w:pPr>
        <w:ind w:firstLine="480"/>
        <w:rPr>
          <w:rFonts w:ascii="Calibri" w:hAnsi="Calibri" w:eastAsia="华文细黑"/>
          <w:sz w:val="24"/>
          <w:lang w:val="zh-CN"/>
        </w:rPr>
      </w:pPr>
      <w:r>
        <w:rPr>
          <w:rFonts w:hint="eastAsia" w:ascii="Calibri" w:hAnsi="Calibri" w:eastAsia="华文细黑"/>
          <w:sz w:val="24"/>
          <w:lang w:val="zh-CN"/>
        </w:rPr>
        <w:t>4.选手参加实际操作竞赛前，应认真学习竞赛项目安全操作规程。竞赛中如发现问题应及时解决，无法解决的问题应及时向裁判员报告，裁判员视情况予以判定，并协调处理。</w:t>
      </w:r>
    </w:p>
    <w:p>
      <w:pPr>
        <w:ind w:firstLine="480"/>
        <w:rPr>
          <w:rFonts w:ascii="Calibri" w:hAnsi="Calibri" w:eastAsia="华文细黑"/>
          <w:sz w:val="24"/>
          <w:lang w:val="zh-CN"/>
        </w:rPr>
      </w:pPr>
      <w:r>
        <w:rPr>
          <w:rFonts w:hint="eastAsia" w:ascii="Calibri" w:hAnsi="Calibri" w:eastAsia="华文细黑"/>
          <w:sz w:val="24"/>
          <w:lang w:val="zh-CN"/>
        </w:rPr>
        <w:t>5.参赛选手不得触动非竞赛用仪器设备，对竞赛仪器设备造成损坏，由当事人承担赔偿责任（视情节而定），并通报批评；参赛选手若出现恶意破坏仪器设备等严重情节的将依法处理。</w:t>
      </w:r>
    </w:p>
    <w:p>
      <w:pPr>
        <w:ind w:firstLine="480"/>
        <w:rPr>
          <w:rFonts w:ascii="Calibri" w:hAnsi="Calibri" w:eastAsia="华文细黑"/>
          <w:sz w:val="24"/>
          <w:lang w:val="zh-CN"/>
        </w:rPr>
      </w:pPr>
      <w:r>
        <w:rPr>
          <w:rFonts w:hint="eastAsia" w:ascii="Calibri" w:hAnsi="Calibri" w:eastAsia="华文细黑"/>
          <w:sz w:val="24"/>
          <w:lang w:val="zh-CN"/>
        </w:rPr>
        <w:t>6.比赛期间所有进入赛区车辆、人员需凭证入内，并主动向工作人员出示。</w:t>
      </w:r>
    </w:p>
    <w:p>
      <w:pPr>
        <w:ind w:firstLine="480"/>
        <w:rPr>
          <w:rFonts w:ascii="Calibri" w:hAnsi="Calibri" w:eastAsia="华文细黑"/>
          <w:sz w:val="24"/>
          <w:lang w:val="zh-CN"/>
        </w:rPr>
      </w:pPr>
      <w:r>
        <w:rPr>
          <w:rFonts w:hint="eastAsia" w:ascii="Calibri" w:hAnsi="Calibri" w:eastAsia="华文细黑"/>
          <w:sz w:val="24"/>
          <w:lang w:val="zh-CN"/>
        </w:rPr>
        <w:t>7.赛前，选手要认真阅读竞赛服务指南和秩序册。</w:t>
      </w:r>
    </w:p>
    <w:p>
      <w:pPr>
        <w:ind w:firstLine="480"/>
        <w:rPr>
          <w:rFonts w:ascii="Calibri" w:hAnsi="Calibri" w:eastAsia="华文细黑"/>
          <w:sz w:val="24"/>
          <w:lang w:val="zh-CN"/>
        </w:rPr>
      </w:pPr>
      <w:r>
        <w:rPr>
          <w:rFonts w:hint="eastAsia" w:ascii="Calibri" w:hAnsi="Calibri" w:eastAsia="华文细黑"/>
          <w:sz w:val="24"/>
          <w:lang w:val="zh-CN"/>
        </w:rPr>
        <w:t>8.各类人员须严格遵守赛场规则，严禁携带比赛严令禁止的物品入内。</w:t>
      </w:r>
    </w:p>
    <w:p>
      <w:pPr>
        <w:ind w:firstLine="480"/>
        <w:rPr>
          <w:rFonts w:ascii="Calibri" w:hAnsi="Calibri" w:eastAsia="华文细黑"/>
          <w:sz w:val="24"/>
          <w:lang w:val="zh-CN"/>
        </w:rPr>
      </w:pPr>
      <w:r>
        <w:rPr>
          <w:rFonts w:hint="eastAsia" w:ascii="Calibri" w:hAnsi="Calibri" w:eastAsia="华文细黑"/>
          <w:sz w:val="24"/>
          <w:lang w:val="zh-CN"/>
        </w:rPr>
        <w:t>9.严禁携带易燃易爆等危险品入内。</w:t>
      </w:r>
    </w:p>
    <w:p>
      <w:pPr>
        <w:ind w:firstLine="480"/>
        <w:rPr>
          <w:rFonts w:ascii="Calibri" w:hAnsi="Calibri" w:eastAsia="华文细黑"/>
          <w:sz w:val="24"/>
          <w:lang w:val="zh-CN"/>
        </w:rPr>
      </w:pPr>
      <w:r>
        <w:rPr>
          <w:rFonts w:hint="eastAsia" w:ascii="Calibri" w:hAnsi="Calibri" w:eastAsia="华文细黑"/>
          <w:sz w:val="24"/>
          <w:lang w:val="zh-CN"/>
        </w:rPr>
        <w:t>10.赛场必须留有安全通道，必须配备灭火设备；赛场应具备良好的通风、照明和操作空间的条件。同时做好竞赛安全、健康和公共卫生及突发事件预防与应急处理等工作。</w:t>
      </w:r>
    </w:p>
    <w:p>
      <w:pPr>
        <w:ind w:firstLine="480"/>
        <w:rPr>
          <w:rFonts w:ascii="Calibri" w:hAnsi="Calibri" w:eastAsia="华文细黑"/>
          <w:sz w:val="24"/>
          <w:lang w:val="zh-CN"/>
        </w:rPr>
      </w:pPr>
      <w:r>
        <w:rPr>
          <w:rFonts w:hint="eastAsia" w:ascii="Calibri" w:hAnsi="Calibri" w:eastAsia="华文细黑"/>
          <w:sz w:val="24"/>
          <w:lang w:val="zh-CN"/>
        </w:rPr>
        <w:t>11.安保人员发现安全隐患要立即报告赛场负责人员。</w:t>
      </w:r>
    </w:p>
    <w:p>
      <w:pPr>
        <w:ind w:firstLine="480"/>
        <w:rPr>
          <w:rFonts w:ascii="Calibri" w:hAnsi="Calibri" w:eastAsia="华文细黑"/>
          <w:sz w:val="24"/>
          <w:lang w:val="zh-CN"/>
        </w:rPr>
      </w:pPr>
      <w:r>
        <w:rPr>
          <w:rFonts w:hint="eastAsia" w:ascii="Calibri" w:hAnsi="Calibri" w:eastAsia="华文细黑"/>
          <w:sz w:val="24"/>
          <w:lang w:val="zh-CN"/>
        </w:rPr>
        <w:t>12.如遇突发严重事件，在安保人员指挥下，迅速按紧急疏散路线撤离现场。</w:t>
      </w:r>
    </w:p>
    <w:p>
      <w:pPr>
        <w:ind w:firstLine="480"/>
        <w:rPr>
          <w:rFonts w:ascii="Calibri" w:hAnsi="Calibri" w:eastAsia="华文细黑"/>
          <w:sz w:val="24"/>
          <w:lang w:val="zh-CN"/>
        </w:rPr>
      </w:pPr>
      <w:r>
        <w:rPr>
          <w:rFonts w:hint="eastAsia" w:ascii="Calibri" w:hAnsi="Calibri" w:eastAsia="华文细黑"/>
          <w:sz w:val="24"/>
          <w:lang w:val="zh-CN"/>
        </w:rPr>
        <w:t>13.赛场必须配备医护人员和应急药品。</w:t>
      </w:r>
    </w:p>
    <w:p>
      <w:pPr>
        <w:tabs>
          <w:tab w:val="left" w:pos="3240"/>
        </w:tabs>
        <w:spacing w:line="360" w:lineRule="auto"/>
        <w:ind w:firstLine="480" w:firstLineChars="200"/>
        <w:rPr>
          <w:rFonts w:ascii="Calibri" w:hAnsi="Calibri" w:eastAsia="华文细黑"/>
          <w:b/>
          <w:bCs/>
          <w:sz w:val="24"/>
        </w:rPr>
      </w:pPr>
      <w:r>
        <w:rPr>
          <w:rFonts w:hint="eastAsia" w:ascii="Calibri" w:hAnsi="Calibri" w:eastAsia="华文细黑"/>
          <w:b/>
          <w:bCs/>
          <w:sz w:val="24"/>
        </w:rPr>
        <w:t>（二）安全操作规程</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1.操作机床时应穿戴好工作服，防砸鞋，防护镜；</w:t>
      </w:r>
      <w:r>
        <w:rPr>
          <w:rFonts w:hint="eastAsia" w:ascii="Calibri" w:hAnsi="Calibri" w:eastAsia="华文细黑"/>
          <w:sz w:val="24"/>
          <w:szCs w:val="28"/>
          <w:lang w:val="zh-CN"/>
        </w:rPr>
        <w:t>女工戴好工作帽</w:t>
      </w:r>
      <w:r>
        <w:rPr>
          <w:rFonts w:hint="eastAsia" w:ascii="Calibri" w:hAnsi="Calibri" w:eastAsia="华文细黑"/>
          <w:sz w:val="24"/>
          <w:lang w:val="zh-CN"/>
        </w:rPr>
        <w:t>；严禁戴手套、戒指、挂坠等物品操作机床，不得围布于身上。</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2.严禁移动或损坏安装在机床上的警告牌。</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3.应根据机床性能正确使用机床，禁止超性能使用。</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4.机床开始工作前要认真检查车床各部分机构及防护设备是否完好，各手柄是否灵活、位置是否正确。</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5.使用刀具前应确认是否与机床允许的规格相符，破损的刀具要及时更换。</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6.卡盘扳手应随手取下，不要遗忘在卡盘上。</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7.加工轴类零件时，中心孔要合适。</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8.随时检查卡盘夹紧工件的状态。</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9.铁屑必须要用铁钩子来清理，严禁徒手抓取。</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10.禁止用手或其它任何方式接触正在旋转的卡盘、工件或其它运动部位。</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11.加工过程中禁止用棉纱擦拭工件及清扫机床。</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12.机床运转中操作者不得离开岗位，机床发生异常应立即停车。</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13.必须在操作步骤完全清楚时进行操作，禁止进行尝试性操作，如机床出现异常，选手必须立即向裁判员报告。</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14.加工过程中认真观察切削及冷却情况，防止铁屑、润滑油飞溅。</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15.在加工过程中需测量工件尺寸时，要待机床完全停止，主轴停转后方可进行测量，以免发生人身伤害事故。</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16.</w:t>
      </w:r>
      <w:r>
        <w:rPr>
          <w:rFonts w:hint="eastAsia" w:ascii="Calibri" w:hAnsi="Calibri" w:eastAsia="华文细黑"/>
          <w:sz w:val="24"/>
          <w:szCs w:val="28"/>
          <w:lang w:val="zh-CN"/>
        </w:rPr>
        <w:t>使用机床快速时，应照顾周围，防止碰撞，快到终点时，改为手摇</w:t>
      </w:r>
      <w:r>
        <w:rPr>
          <w:rFonts w:hint="eastAsia" w:ascii="Calibri" w:hAnsi="Calibri" w:eastAsia="华文细黑"/>
          <w:sz w:val="24"/>
          <w:lang w:val="zh-CN"/>
        </w:rPr>
        <w:t>。</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17.竞赛完成后，应清除铁屑，擦拭机床，使机床和环境保持清洁状态。</w:t>
      </w:r>
    </w:p>
    <w:p>
      <w:pPr>
        <w:spacing w:line="360" w:lineRule="auto"/>
        <w:ind w:firstLine="602" w:firstLineChars="200"/>
        <w:rPr>
          <w:rFonts w:ascii="仿宋" w:hAnsi="仿宋" w:eastAsia="仿宋"/>
          <w:b/>
          <w:bCs/>
          <w:sz w:val="28"/>
          <w:szCs w:val="28"/>
        </w:rPr>
      </w:pPr>
      <w:r>
        <w:rPr>
          <w:rFonts w:hint="eastAsia" w:ascii="黑体" w:hAnsi="黑体" w:eastAsia="黑体" w:cs="黑体"/>
          <w:b/>
          <w:bCs/>
          <w:sz w:val="30"/>
          <w:szCs w:val="30"/>
        </w:rPr>
        <w:t>六、开放赛场</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（一）比赛承办方应在不影响选手比赛和裁判员工作的前提下提供开放式场地供参观者观摩。</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（二）比赛承办方应积极做好竞赛的宣传工作。</w:t>
      </w:r>
    </w:p>
    <w:p>
      <w:pPr>
        <w:spacing w:line="360" w:lineRule="auto"/>
        <w:ind w:firstLine="480" w:firstLineChars="200"/>
        <w:rPr>
          <w:rFonts w:ascii="Calibri" w:hAnsi="Calibri" w:eastAsia="华文细黑"/>
          <w:sz w:val="24"/>
          <w:lang w:val="zh-CN"/>
        </w:rPr>
      </w:pPr>
      <w:r>
        <w:rPr>
          <w:rFonts w:hint="eastAsia" w:ascii="Calibri" w:hAnsi="Calibri" w:eastAsia="华文细黑"/>
          <w:sz w:val="24"/>
          <w:lang w:val="zh-CN"/>
        </w:rPr>
        <w:t>（三）参观人员需经过登记审核，安检和检查携带的物品后，方可进入赛场。</w:t>
      </w:r>
    </w:p>
    <w:sectPr>
      <w:footerReference r:id="rId3" w:type="default"/>
      <w:footerReference r:id="rId4" w:type="even"/>
      <w:pgSz w:w="11906" w:h="16838"/>
      <w:pgMar w:top="1440" w:right="1797" w:bottom="1440" w:left="1797" w:header="851" w:footer="992" w:gutter="0"/>
      <w:pgNumType w:start="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新魏">
    <w:altName w:val="宋体"/>
    <w:panose1 w:val="02010800040101010101"/>
    <w:charset w:val="86"/>
    <w:family w:val="auto"/>
    <w:pitch w:val="default"/>
    <w:sig w:usb0="00000000" w:usb1="00000000" w:usb2="00000010" w:usb3="00000000" w:csb0="00040000" w:csb1="00000000"/>
  </w:font>
  <w:font w:name="华文细黑">
    <w:altName w:val="微软雅黑"/>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rap="around" w:vAnchor="text" w:hAnchor="margin" w:xAlign="center" w:y="1"/>
      <w:rPr>
        <w:rStyle w:val="15"/>
      </w:rPr>
    </w:pPr>
    <w:r>
      <w:rPr>
        <w:rStyle w:val="15"/>
      </w:rPr>
      <w:fldChar w:fldCharType="begin"/>
    </w:r>
    <w:r>
      <w:rPr>
        <w:rStyle w:val="15"/>
      </w:rPr>
      <w:instrText xml:space="preserve">PAGE  </w:instrText>
    </w:r>
    <w:r>
      <w:rPr>
        <w:rStyle w:val="15"/>
      </w:rPr>
      <w:fldChar w:fldCharType="separate"/>
    </w:r>
    <w:r>
      <w:rPr>
        <w:rStyle w:val="15"/>
      </w:rPr>
      <w:t>18</w:t>
    </w:r>
    <w:r>
      <w:rPr>
        <w:rStyle w:val="15"/>
      </w:rPr>
      <w:fldChar w:fldCharType="end"/>
    </w:r>
  </w:p>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rap="around" w:vAnchor="text" w:hAnchor="margin" w:xAlign="center" w:y="1"/>
      <w:rPr>
        <w:rStyle w:val="15"/>
      </w:rPr>
    </w:pPr>
    <w:r>
      <w:rPr>
        <w:rStyle w:val="15"/>
      </w:rPr>
      <w:fldChar w:fldCharType="begin"/>
    </w:r>
    <w:r>
      <w:rPr>
        <w:rStyle w:val="15"/>
      </w:rPr>
      <w:instrText xml:space="preserve">PAGE  </w:instrText>
    </w:r>
    <w:r>
      <w:rPr>
        <w:rStyle w:val="15"/>
      </w:rPr>
      <w:fldChar w:fldCharType="end"/>
    </w:r>
  </w:p>
  <w:p>
    <w:pPr>
      <w:pStyle w:val="9"/>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UwYTY0MGM3ZjczMTVkYjQ5ZTc3MzI4MmY2ZTUzMTIifQ=="/>
  </w:docVars>
  <w:rsids>
    <w:rsidRoot w:val="001F280B"/>
    <w:rsid w:val="00001836"/>
    <w:rsid w:val="0000321C"/>
    <w:rsid w:val="00003F9D"/>
    <w:rsid w:val="00007104"/>
    <w:rsid w:val="000152C1"/>
    <w:rsid w:val="000239CA"/>
    <w:rsid w:val="00025D4A"/>
    <w:rsid w:val="000306DD"/>
    <w:rsid w:val="0003357C"/>
    <w:rsid w:val="00035DE6"/>
    <w:rsid w:val="0003662F"/>
    <w:rsid w:val="00041892"/>
    <w:rsid w:val="000420A9"/>
    <w:rsid w:val="00047153"/>
    <w:rsid w:val="0004731D"/>
    <w:rsid w:val="00052B0C"/>
    <w:rsid w:val="00054D11"/>
    <w:rsid w:val="0005751E"/>
    <w:rsid w:val="00062E15"/>
    <w:rsid w:val="00062E92"/>
    <w:rsid w:val="00064FD6"/>
    <w:rsid w:val="00077B4B"/>
    <w:rsid w:val="00077F61"/>
    <w:rsid w:val="00083C06"/>
    <w:rsid w:val="00086488"/>
    <w:rsid w:val="000868BD"/>
    <w:rsid w:val="00091ED1"/>
    <w:rsid w:val="00095CA3"/>
    <w:rsid w:val="000A30FE"/>
    <w:rsid w:val="000A5BCE"/>
    <w:rsid w:val="000A7113"/>
    <w:rsid w:val="000B419E"/>
    <w:rsid w:val="000B45C0"/>
    <w:rsid w:val="000B5433"/>
    <w:rsid w:val="000C2E26"/>
    <w:rsid w:val="000D173E"/>
    <w:rsid w:val="000D760B"/>
    <w:rsid w:val="000E1419"/>
    <w:rsid w:val="000E4EF6"/>
    <w:rsid w:val="000E752F"/>
    <w:rsid w:val="000F25E3"/>
    <w:rsid w:val="000F2874"/>
    <w:rsid w:val="000F46E0"/>
    <w:rsid w:val="000F74F7"/>
    <w:rsid w:val="001011BB"/>
    <w:rsid w:val="00103008"/>
    <w:rsid w:val="00106CCF"/>
    <w:rsid w:val="00107F03"/>
    <w:rsid w:val="0011082F"/>
    <w:rsid w:val="00110C69"/>
    <w:rsid w:val="00112905"/>
    <w:rsid w:val="00120855"/>
    <w:rsid w:val="00130676"/>
    <w:rsid w:val="00136D05"/>
    <w:rsid w:val="0014051B"/>
    <w:rsid w:val="00144382"/>
    <w:rsid w:val="00144B88"/>
    <w:rsid w:val="001451F4"/>
    <w:rsid w:val="00147105"/>
    <w:rsid w:val="00147225"/>
    <w:rsid w:val="0015052B"/>
    <w:rsid w:val="00163348"/>
    <w:rsid w:val="0016664D"/>
    <w:rsid w:val="00170AAF"/>
    <w:rsid w:val="0017239A"/>
    <w:rsid w:val="00175188"/>
    <w:rsid w:val="00175CA8"/>
    <w:rsid w:val="001805D4"/>
    <w:rsid w:val="00180DBC"/>
    <w:rsid w:val="00183116"/>
    <w:rsid w:val="00185085"/>
    <w:rsid w:val="00187049"/>
    <w:rsid w:val="00191CEE"/>
    <w:rsid w:val="00193D97"/>
    <w:rsid w:val="00196532"/>
    <w:rsid w:val="001A2943"/>
    <w:rsid w:val="001A3456"/>
    <w:rsid w:val="001A3B51"/>
    <w:rsid w:val="001A4B75"/>
    <w:rsid w:val="001B02F1"/>
    <w:rsid w:val="001B38DF"/>
    <w:rsid w:val="001B66B4"/>
    <w:rsid w:val="001B6851"/>
    <w:rsid w:val="001C1F63"/>
    <w:rsid w:val="001D02F2"/>
    <w:rsid w:val="001D1586"/>
    <w:rsid w:val="001D306F"/>
    <w:rsid w:val="001D4BB7"/>
    <w:rsid w:val="001D55DD"/>
    <w:rsid w:val="001D72A3"/>
    <w:rsid w:val="001D784B"/>
    <w:rsid w:val="001E466E"/>
    <w:rsid w:val="001E53C6"/>
    <w:rsid w:val="001E6E59"/>
    <w:rsid w:val="001F280B"/>
    <w:rsid w:val="001F38FA"/>
    <w:rsid w:val="001F6034"/>
    <w:rsid w:val="001F60A1"/>
    <w:rsid w:val="001F7385"/>
    <w:rsid w:val="002010A9"/>
    <w:rsid w:val="00203E38"/>
    <w:rsid w:val="002045AB"/>
    <w:rsid w:val="00214CDA"/>
    <w:rsid w:val="002153FB"/>
    <w:rsid w:val="00217585"/>
    <w:rsid w:val="002175A2"/>
    <w:rsid w:val="0022055F"/>
    <w:rsid w:val="0022228C"/>
    <w:rsid w:val="00223B83"/>
    <w:rsid w:val="00224256"/>
    <w:rsid w:val="00233932"/>
    <w:rsid w:val="0025404F"/>
    <w:rsid w:val="00255D46"/>
    <w:rsid w:val="00264A38"/>
    <w:rsid w:val="0026515D"/>
    <w:rsid w:val="0026585B"/>
    <w:rsid w:val="00275BA1"/>
    <w:rsid w:val="00280389"/>
    <w:rsid w:val="00286638"/>
    <w:rsid w:val="00286F0F"/>
    <w:rsid w:val="00287F39"/>
    <w:rsid w:val="00287F68"/>
    <w:rsid w:val="00297C25"/>
    <w:rsid w:val="002A0EA7"/>
    <w:rsid w:val="002A124E"/>
    <w:rsid w:val="002A444C"/>
    <w:rsid w:val="002A6850"/>
    <w:rsid w:val="002B17CD"/>
    <w:rsid w:val="002B2262"/>
    <w:rsid w:val="002B44E7"/>
    <w:rsid w:val="002B46D0"/>
    <w:rsid w:val="002B5288"/>
    <w:rsid w:val="002B5B79"/>
    <w:rsid w:val="002B669E"/>
    <w:rsid w:val="002B6C5A"/>
    <w:rsid w:val="002B78F7"/>
    <w:rsid w:val="002C14E2"/>
    <w:rsid w:val="002C43DE"/>
    <w:rsid w:val="002D4A86"/>
    <w:rsid w:val="002D77AB"/>
    <w:rsid w:val="002E23DE"/>
    <w:rsid w:val="002E5F6E"/>
    <w:rsid w:val="002F05A7"/>
    <w:rsid w:val="002F2E38"/>
    <w:rsid w:val="002F3FAB"/>
    <w:rsid w:val="00301D46"/>
    <w:rsid w:val="00303040"/>
    <w:rsid w:val="003034E1"/>
    <w:rsid w:val="003035F4"/>
    <w:rsid w:val="00307FFA"/>
    <w:rsid w:val="00317227"/>
    <w:rsid w:val="0032326F"/>
    <w:rsid w:val="0033434A"/>
    <w:rsid w:val="00334844"/>
    <w:rsid w:val="00337FF4"/>
    <w:rsid w:val="003504F0"/>
    <w:rsid w:val="003505C4"/>
    <w:rsid w:val="00353162"/>
    <w:rsid w:val="00354696"/>
    <w:rsid w:val="00355FC8"/>
    <w:rsid w:val="00365E6A"/>
    <w:rsid w:val="00370392"/>
    <w:rsid w:val="003753A2"/>
    <w:rsid w:val="003832E9"/>
    <w:rsid w:val="003875FE"/>
    <w:rsid w:val="003941BA"/>
    <w:rsid w:val="003A4AF0"/>
    <w:rsid w:val="003A7CEC"/>
    <w:rsid w:val="003B04D2"/>
    <w:rsid w:val="003B1B4D"/>
    <w:rsid w:val="003B416E"/>
    <w:rsid w:val="003B6D0F"/>
    <w:rsid w:val="003D11B9"/>
    <w:rsid w:val="003D46F0"/>
    <w:rsid w:val="003D73EF"/>
    <w:rsid w:val="003E141C"/>
    <w:rsid w:val="003E2323"/>
    <w:rsid w:val="003E6B73"/>
    <w:rsid w:val="003F0B7B"/>
    <w:rsid w:val="003F2147"/>
    <w:rsid w:val="003F2978"/>
    <w:rsid w:val="00400329"/>
    <w:rsid w:val="0040151F"/>
    <w:rsid w:val="00401582"/>
    <w:rsid w:val="00404DB7"/>
    <w:rsid w:val="00404F07"/>
    <w:rsid w:val="004059C8"/>
    <w:rsid w:val="0041141A"/>
    <w:rsid w:val="00411717"/>
    <w:rsid w:val="004136E4"/>
    <w:rsid w:val="00415F79"/>
    <w:rsid w:val="00416719"/>
    <w:rsid w:val="004202A5"/>
    <w:rsid w:val="004304AC"/>
    <w:rsid w:val="004320A4"/>
    <w:rsid w:val="004367B8"/>
    <w:rsid w:val="00441E76"/>
    <w:rsid w:val="004449A5"/>
    <w:rsid w:val="00445217"/>
    <w:rsid w:val="0044526C"/>
    <w:rsid w:val="0044581F"/>
    <w:rsid w:val="00451875"/>
    <w:rsid w:val="00461AAA"/>
    <w:rsid w:val="00461C99"/>
    <w:rsid w:val="0047182D"/>
    <w:rsid w:val="00472106"/>
    <w:rsid w:val="00472EEF"/>
    <w:rsid w:val="00475124"/>
    <w:rsid w:val="0047720B"/>
    <w:rsid w:val="00483312"/>
    <w:rsid w:val="00484B93"/>
    <w:rsid w:val="00486AFA"/>
    <w:rsid w:val="0049013C"/>
    <w:rsid w:val="004902CF"/>
    <w:rsid w:val="0049129E"/>
    <w:rsid w:val="00494204"/>
    <w:rsid w:val="00496AE1"/>
    <w:rsid w:val="004A43B7"/>
    <w:rsid w:val="004A6CF0"/>
    <w:rsid w:val="004B694F"/>
    <w:rsid w:val="004B7231"/>
    <w:rsid w:val="004C175D"/>
    <w:rsid w:val="004C1B8D"/>
    <w:rsid w:val="004C38F4"/>
    <w:rsid w:val="004C5B3C"/>
    <w:rsid w:val="004D0C44"/>
    <w:rsid w:val="004E66BB"/>
    <w:rsid w:val="004F272E"/>
    <w:rsid w:val="00502293"/>
    <w:rsid w:val="00502488"/>
    <w:rsid w:val="00503AC0"/>
    <w:rsid w:val="00511955"/>
    <w:rsid w:val="00515B05"/>
    <w:rsid w:val="00516426"/>
    <w:rsid w:val="00527F23"/>
    <w:rsid w:val="005307B8"/>
    <w:rsid w:val="005334E3"/>
    <w:rsid w:val="00534B6E"/>
    <w:rsid w:val="00536685"/>
    <w:rsid w:val="005467CF"/>
    <w:rsid w:val="00546847"/>
    <w:rsid w:val="00546CB5"/>
    <w:rsid w:val="00547936"/>
    <w:rsid w:val="005518FD"/>
    <w:rsid w:val="005568DF"/>
    <w:rsid w:val="00560446"/>
    <w:rsid w:val="00561163"/>
    <w:rsid w:val="00564B75"/>
    <w:rsid w:val="00567E52"/>
    <w:rsid w:val="00571402"/>
    <w:rsid w:val="0057213C"/>
    <w:rsid w:val="005724E3"/>
    <w:rsid w:val="005806F4"/>
    <w:rsid w:val="0058468A"/>
    <w:rsid w:val="00590C09"/>
    <w:rsid w:val="00592483"/>
    <w:rsid w:val="00593605"/>
    <w:rsid w:val="00593ADC"/>
    <w:rsid w:val="00595EC2"/>
    <w:rsid w:val="00596CBF"/>
    <w:rsid w:val="00597A12"/>
    <w:rsid w:val="005A0EFF"/>
    <w:rsid w:val="005A2183"/>
    <w:rsid w:val="005A2332"/>
    <w:rsid w:val="005A28E2"/>
    <w:rsid w:val="005A2F52"/>
    <w:rsid w:val="005A7728"/>
    <w:rsid w:val="005C03D4"/>
    <w:rsid w:val="005C0705"/>
    <w:rsid w:val="005C0E09"/>
    <w:rsid w:val="005C5A28"/>
    <w:rsid w:val="005C770A"/>
    <w:rsid w:val="005D56A1"/>
    <w:rsid w:val="005D5867"/>
    <w:rsid w:val="005D7480"/>
    <w:rsid w:val="005E362F"/>
    <w:rsid w:val="005E3DA6"/>
    <w:rsid w:val="005F0DD1"/>
    <w:rsid w:val="00601F02"/>
    <w:rsid w:val="00605B18"/>
    <w:rsid w:val="00605B3F"/>
    <w:rsid w:val="00610385"/>
    <w:rsid w:val="00610A27"/>
    <w:rsid w:val="006111A9"/>
    <w:rsid w:val="006228C6"/>
    <w:rsid w:val="00625A2C"/>
    <w:rsid w:val="00626541"/>
    <w:rsid w:val="00627896"/>
    <w:rsid w:val="00630B64"/>
    <w:rsid w:val="00631CE9"/>
    <w:rsid w:val="006354D7"/>
    <w:rsid w:val="00635C52"/>
    <w:rsid w:val="006361CD"/>
    <w:rsid w:val="00637DE5"/>
    <w:rsid w:val="00640B99"/>
    <w:rsid w:val="006413A5"/>
    <w:rsid w:val="00642590"/>
    <w:rsid w:val="00642CF1"/>
    <w:rsid w:val="006505BD"/>
    <w:rsid w:val="00651113"/>
    <w:rsid w:val="0065284F"/>
    <w:rsid w:val="006537E0"/>
    <w:rsid w:val="00661CAD"/>
    <w:rsid w:val="0066462C"/>
    <w:rsid w:val="0066520D"/>
    <w:rsid w:val="00665CF0"/>
    <w:rsid w:val="00667363"/>
    <w:rsid w:val="0068163F"/>
    <w:rsid w:val="0068291F"/>
    <w:rsid w:val="006849D8"/>
    <w:rsid w:val="006858A2"/>
    <w:rsid w:val="00691770"/>
    <w:rsid w:val="00692153"/>
    <w:rsid w:val="0069301B"/>
    <w:rsid w:val="006932A2"/>
    <w:rsid w:val="00693F64"/>
    <w:rsid w:val="00695B0A"/>
    <w:rsid w:val="0069775B"/>
    <w:rsid w:val="006A0215"/>
    <w:rsid w:val="006A244C"/>
    <w:rsid w:val="006A3060"/>
    <w:rsid w:val="006A3323"/>
    <w:rsid w:val="006A6CF6"/>
    <w:rsid w:val="006C4FD9"/>
    <w:rsid w:val="006C7169"/>
    <w:rsid w:val="006D0D4D"/>
    <w:rsid w:val="006D1E9F"/>
    <w:rsid w:val="006D20F1"/>
    <w:rsid w:val="006D493E"/>
    <w:rsid w:val="006D5B86"/>
    <w:rsid w:val="006D662E"/>
    <w:rsid w:val="006E082E"/>
    <w:rsid w:val="006E143E"/>
    <w:rsid w:val="006E3A82"/>
    <w:rsid w:val="006F11E9"/>
    <w:rsid w:val="006F28CE"/>
    <w:rsid w:val="006F5976"/>
    <w:rsid w:val="006F5F81"/>
    <w:rsid w:val="006F7B27"/>
    <w:rsid w:val="007029E5"/>
    <w:rsid w:val="00705B22"/>
    <w:rsid w:val="007074A2"/>
    <w:rsid w:val="00710131"/>
    <w:rsid w:val="0071091F"/>
    <w:rsid w:val="007122EC"/>
    <w:rsid w:val="0071239F"/>
    <w:rsid w:val="00715950"/>
    <w:rsid w:val="007209C5"/>
    <w:rsid w:val="00721132"/>
    <w:rsid w:val="00724E7A"/>
    <w:rsid w:val="00727D19"/>
    <w:rsid w:val="0073052D"/>
    <w:rsid w:val="007330D8"/>
    <w:rsid w:val="00735F6E"/>
    <w:rsid w:val="00740B77"/>
    <w:rsid w:val="007415E7"/>
    <w:rsid w:val="007430C6"/>
    <w:rsid w:val="0075145F"/>
    <w:rsid w:val="00754820"/>
    <w:rsid w:val="007572FF"/>
    <w:rsid w:val="007624C2"/>
    <w:rsid w:val="00763302"/>
    <w:rsid w:val="00767EB4"/>
    <w:rsid w:val="00771D7F"/>
    <w:rsid w:val="00774A67"/>
    <w:rsid w:val="00777D17"/>
    <w:rsid w:val="00783907"/>
    <w:rsid w:val="007876A9"/>
    <w:rsid w:val="007A0870"/>
    <w:rsid w:val="007A0E9E"/>
    <w:rsid w:val="007A3330"/>
    <w:rsid w:val="007A537E"/>
    <w:rsid w:val="007A6F67"/>
    <w:rsid w:val="007A765B"/>
    <w:rsid w:val="007B0D6A"/>
    <w:rsid w:val="007B2F13"/>
    <w:rsid w:val="007B5553"/>
    <w:rsid w:val="007C3485"/>
    <w:rsid w:val="007C5EB6"/>
    <w:rsid w:val="007C6BCD"/>
    <w:rsid w:val="007D0CA0"/>
    <w:rsid w:val="007D2034"/>
    <w:rsid w:val="007D5070"/>
    <w:rsid w:val="007D52B0"/>
    <w:rsid w:val="007D603C"/>
    <w:rsid w:val="007D6F79"/>
    <w:rsid w:val="007E13B9"/>
    <w:rsid w:val="007E2AAA"/>
    <w:rsid w:val="007E3E31"/>
    <w:rsid w:val="007F21EB"/>
    <w:rsid w:val="007F45C4"/>
    <w:rsid w:val="00807757"/>
    <w:rsid w:val="0081599C"/>
    <w:rsid w:val="00817663"/>
    <w:rsid w:val="00823B73"/>
    <w:rsid w:val="0082516F"/>
    <w:rsid w:val="008319F6"/>
    <w:rsid w:val="008338A2"/>
    <w:rsid w:val="00834E8C"/>
    <w:rsid w:val="00835AD4"/>
    <w:rsid w:val="00835B9B"/>
    <w:rsid w:val="00844A6E"/>
    <w:rsid w:val="008507FA"/>
    <w:rsid w:val="0085146C"/>
    <w:rsid w:val="0085738B"/>
    <w:rsid w:val="00860428"/>
    <w:rsid w:val="00861EAF"/>
    <w:rsid w:val="00863540"/>
    <w:rsid w:val="008654F9"/>
    <w:rsid w:val="0086694D"/>
    <w:rsid w:val="0086742A"/>
    <w:rsid w:val="008716A4"/>
    <w:rsid w:val="008874F6"/>
    <w:rsid w:val="00890AB2"/>
    <w:rsid w:val="00891386"/>
    <w:rsid w:val="0089255C"/>
    <w:rsid w:val="00894C22"/>
    <w:rsid w:val="00895BE9"/>
    <w:rsid w:val="008A61BA"/>
    <w:rsid w:val="008A680F"/>
    <w:rsid w:val="008B0E40"/>
    <w:rsid w:val="008B1ACE"/>
    <w:rsid w:val="008B3E49"/>
    <w:rsid w:val="008B721E"/>
    <w:rsid w:val="008B7870"/>
    <w:rsid w:val="008B7EDB"/>
    <w:rsid w:val="008C0712"/>
    <w:rsid w:val="008D062A"/>
    <w:rsid w:val="008D1AE5"/>
    <w:rsid w:val="008D59F9"/>
    <w:rsid w:val="008E3DE2"/>
    <w:rsid w:val="008E4F8C"/>
    <w:rsid w:val="008F273C"/>
    <w:rsid w:val="008F3385"/>
    <w:rsid w:val="008F49A9"/>
    <w:rsid w:val="008F661B"/>
    <w:rsid w:val="009012CF"/>
    <w:rsid w:val="00902E8F"/>
    <w:rsid w:val="00904D2F"/>
    <w:rsid w:val="00905079"/>
    <w:rsid w:val="009057C0"/>
    <w:rsid w:val="00905A56"/>
    <w:rsid w:val="009067C7"/>
    <w:rsid w:val="00907C73"/>
    <w:rsid w:val="00915477"/>
    <w:rsid w:val="00916BC6"/>
    <w:rsid w:val="00921337"/>
    <w:rsid w:val="00921EF3"/>
    <w:rsid w:val="0092363F"/>
    <w:rsid w:val="0093168C"/>
    <w:rsid w:val="00932AB5"/>
    <w:rsid w:val="0093559C"/>
    <w:rsid w:val="009369DD"/>
    <w:rsid w:val="009371B9"/>
    <w:rsid w:val="0094053B"/>
    <w:rsid w:val="009407F9"/>
    <w:rsid w:val="0094519A"/>
    <w:rsid w:val="00945714"/>
    <w:rsid w:val="0095066E"/>
    <w:rsid w:val="00953CC6"/>
    <w:rsid w:val="00955881"/>
    <w:rsid w:val="00956C8A"/>
    <w:rsid w:val="00960E32"/>
    <w:rsid w:val="00967178"/>
    <w:rsid w:val="00974C5F"/>
    <w:rsid w:val="00975DE6"/>
    <w:rsid w:val="00975EE7"/>
    <w:rsid w:val="00982AB3"/>
    <w:rsid w:val="009834DC"/>
    <w:rsid w:val="00987443"/>
    <w:rsid w:val="00993838"/>
    <w:rsid w:val="0099581D"/>
    <w:rsid w:val="009A6C3F"/>
    <w:rsid w:val="009A79B5"/>
    <w:rsid w:val="009B22B9"/>
    <w:rsid w:val="009B705E"/>
    <w:rsid w:val="009C1F74"/>
    <w:rsid w:val="009C58AB"/>
    <w:rsid w:val="009D5FC8"/>
    <w:rsid w:val="009D7858"/>
    <w:rsid w:val="009E62C1"/>
    <w:rsid w:val="009E650A"/>
    <w:rsid w:val="009F0017"/>
    <w:rsid w:val="009F0DC3"/>
    <w:rsid w:val="009F1299"/>
    <w:rsid w:val="009F2D5C"/>
    <w:rsid w:val="009F30EC"/>
    <w:rsid w:val="009F4413"/>
    <w:rsid w:val="009F7B1D"/>
    <w:rsid w:val="00A01A47"/>
    <w:rsid w:val="00A142D0"/>
    <w:rsid w:val="00A16475"/>
    <w:rsid w:val="00A1663C"/>
    <w:rsid w:val="00A255DB"/>
    <w:rsid w:val="00A346A5"/>
    <w:rsid w:val="00A35C33"/>
    <w:rsid w:val="00A37F68"/>
    <w:rsid w:val="00A43A9D"/>
    <w:rsid w:val="00A45AD1"/>
    <w:rsid w:val="00A505C6"/>
    <w:rsid w:val="00A5362A"/>
    <w:rsid w:val="00A54CF2"/>
    <w:rsid w:val="00A6560A"/>
    <w:rsid w:val="00A65A96"/>
    <w:rsid w:val="00A82FC2"/>
    <w:rsid w:val="00A85FBA"/>
    <w:rsid w:val="00A91F33"/>
    <w:rsid w:val="00A9217E"/>
    <w:rsid w:val="00A96451"/>
    <w:rsid w:val="00A96CCF"/>
    <w:rsid w:val="00AA3FE0"/>
    <w:rsid w:val="00AA40F6"/>
    <w:rsid w:val="00AA595E"/>
    <w:rsid w:val="00AB4675"/>
    <w:rsid w:val="00AB5FEA"/>
    <w:rsid w:val="00AB6906"/>
    <w:rsid w:val="00AB730D"/>
    <w:rsid w:val="00AC25EF"/>
    <w:rsid w:val="00AC5305"/>
    <w:rsid w:val="00AC546F"/>
    <w:rsid w:val="00AC71E2"/>
    <w:rsid w:val="00AC79AD"/>
    <w:rsid w:val="00AD258D"/>
    <w:rsid w:val="00AD2A02"/>
    <w:rsid w:val="00AE01CC"/>
    <w:rsid w:val="00AE0813"/>
    <w:rsid w:val="00AE3D2D"/>
    <w:rsid w:val="00AE6F3B"/>
    <w:rsid w:val="00AF463A"/>
    <w:rsid w:val="00AF5562"/>
    <w:rsid w:val="00AF6508"/>
    <w:rsid w:val="00AF6790"/>
    <w:rsid w:val="00AF6C50"/>
    <w:rsid w:val="00AF7D0E"/>
    <w:rsid w:val="00B03617"/>
    <w:rsid w:val="00B03634"/>
    <w:rsid w:val="00B06CDF"/>
    <w:rsid w:val="00B1165B"/>
    <w:rsid w:val="00B12DF1"/>
    <w:rsid w:val="00B1476E"/>
    <w:rsid w:val="00B14900"/>
    <w:rsid w:val="00B14A29"/>
    <w:rsid w:val="00B219BF"/>
    <w:rsid w:val="00B3070F"/>
    <w:rsid w:val="00B3323A"/>
    <w:rsid w:val="00B33C3E"/>
    <w:rsid w:val="00B361A7"/>
    <w:rsid w:val="00B36FA9"/>
    <w:rsid w:val="00B44915"/>
    <w:rsid w:val="00B465E7"/>
    <w:rsid w:val="00B476D1"/>
    <w:rsid w:val="00B50B6A"/>
    <w:rsid w:val="00B55017"/>
    <w:rsid w:val="00B55AF5"/>
    <w:rsid w:val="00B60136"/>
    <w:rsid w:val="00B61216"/>
    <w:rsid w:val="00B70DE8"/>
    <w:rsid w:val="00B74F74"/>
    <w:rsid w:val="00B75199"/>
    <w:rsid w:val="00B7565A"/>
    <w:rsid w:val="00B859D2"/>
    <w:rsid w:val="00B86BE2"/>
    <w:rsid w:val="00B948C4"/>
    <w:rsid w:val="00B94F8D"/>
    <w:rsid w:val="00BA39F7"/>
    <w:rsid w:val="00BA3CFF"/>
    <w:rsid w:val="00BA3D89"/>
    <w:rsid w:val="00BB1A05"/>
    <w:rsid w:val="00BB24A6"/>
    <w:rsid w:val="00BB2B6D"/>
    <w:rsid w:val="00BC08FC"/>
    <w:rsid w:val="00BC10B6"/>
    <w:rsid w:val="00BC1757"/>
    <w:rsid w:val="00BC5760"/>
    <w:rsid w:val="00BD0855"/>
    <w:rsid w:val="00BD4C43"/>
    <w:rsid w:val="00BD69FE"/>
    <w:rsid w:val="00BD730A"/>
    <w:rsid w:val="00BE0012"/>
    <w:rsid w:val="00BE145E"/>
    <w:rsid w:val="00BE3870"/>
    <w:rsid w:val="00BF01F8"/>
    <w:rsid w:val="00C015BA"/>
    <w:rsid w:val="00C01D25"/>
    <w:rsid w:val="00C0435E"/>
    <w:rsid w:val="00C11394"/>
    <w:rsid w:val="00C122FC"/>
    <w:rsid w:val="00C208AE"/>
    <w:rsid w:val="00C20924"/>
    <w:rsid w:val="00C210AD"/>
    <w:rsid w:val="00C25666"/>
    <w:rsid w:val="00C26E45"/>
    <w:rsid w:val="00C37747"/>
    <w:rsid w:val="00C45BD8"/>
    <w:rsid w:val="00C52D2E"/>
    <w:rsid w:val="00C56F8E"/>
    <w:rsid w:val="00C70DE1"/>
    <w:rsid w:val="00C70E5A"/>
    <w:rsid w:val="00C8630B"/>
    <w:rsid w:val="00C869AD"/>
    <w:rsid w:val="00CA2BD3"/>
    <w:rsid w:val="00CA5822"/>
    <w:rsid w:val="00CA773F"/>
    <w:rsid w:val="00CB0F06"/>
    <w:rsid w:val="00CC0A48"/>
    <w:rsid w:val="00CC0E18"/>
    <w:rsid w:val="00CC0FF9"/>
    <w:rsid w:val="00CC2681"/>
    <w:rsid w:val="00CC3A12"/>
    <w:rsid w:val="00CC3FDE"/>
    <w:rsid w:val="00CC4113"/>
    <w:rsid w:val="00CC66BB"/>
    <w:rsid w:val="00CC6986"/>
    <w:rsid w:val="00CE1CBF"/>
    <w:rsid w:val="00CF128E"/>
    <w:rsid w:val="00CF1849"/>
    <w:rsid w:val="00CF1E95"/>
    <w:rsid w:val="00CF469A"/>
    <w:rsid w:val="00D0133B"/>
    <w:rsid w:val="00D0197B"/>
    <w:rsid w:val="00D07AE4"/>
    <w:rsid w:val="00D159B2"/>
    <w:rsid w:val="00D162ED"/>
    <w:rsid w:val="00D2518B"/>
    <w:rsid w:val="00D252AC"/>
    <w:rsid w:val="00D2747C"/>
    <w:rsid w:val="00D32FB4"/>
    <w:rsid w:val="00D34458"/>
    <w:rsid w:val="00D36CCD"/>
    <w:rsid w:val="00D36EA9"/>
    <w:rsid w:val="00D37DBE"/>
    <w:rsid w:val="00D37F12"/>
    <w:rsid w:val="00D42D04"/>
    <w:rsid w:val="00D46BA7"/>
    <w:rsid w:val="00D50438"/>
    <w:rsid w:val="00D50C37"/>
    <w:rsid w:val="00D50C91"/>
    <w:rsid w:val="00D51567"/>
    <w:rsid w:val="00D51EF2"/>
    <w:rsid w:val="00D562FA"/>
    <w:rsid w:val="00D64321"/>
    <w:rsid w:val="00D678DB"/>
    <w:rsid w:val="00D67F87"/>
    <w:rsid w:val="00D73E4E"/>
    <w:rsid w:val="00D75559"/>
    <w:rsid w:val="00D779CC"/>
    <w:rsid w:val="00D820DD"/>
    <w:rsid w:val="00D84E17"/>
    <w:rsid w:val="00D86EC0"/>
    <w:rsid w:val="00D87A86"/>
    <w:rsid w:val="00D90E9B"/>
    <w:rsid w:val="00D9169C"/>
    <w:rsid w:val="00D92C79"/>
    <w:rsid w:val="00D93B9C"/>
    <w:rsid w:val="00D954A4"/>
    <w:rsid w:val="00DA1F1D"/>
    <w:rsid w:val="00DB2934"/>
    <w:rsid w:val="00DB2EEA"/>
    <w:rsid w:val="00DB4740"/>
    <w:rsid w:val="00DC540E"/>
    <w:rsid w:val="00DD239B"/>
    <w:rsid w:val="00DD440B"/>
    <w:rsid w:val="00DE2B1F"/>
    <w:rsid w:val="00DE3F3D"/>
    <w:rsid w:val="00DE4EFC"/>
    <w:rsid w:val="00DE5FDB"/>
    <w:rsid w:val="00DE68B0"/>
    <w:rsid w:val="00DE6F1C"/>
    <w:rsid w:val="00DF1289"/>
    <w:rsid w:val="00DF1732"/>
    <w:rsid w:val="00E013E0"/>
    <w:rsid w:val="00E05325"/>
    <w:rsid w:val="00E0635E"/>
    <w:rsid w:val="00E07D00"/>
    <w:rsid w:val="00E10484"/>
    <w:rsid w:val="00E10B3E"/>
    <w:rsid w:val="00E10C52"/>
    <w:rsid w:val="00E11238"/>
    <w:rsid w:val="00E11EC2"/>
    <w:rsid w:val="00E15B8F"/>
    <w:rsid w:val="00E209FB"/>
    <w:rsid w:val="00E20C73"/>
    <w:rsid w:val="00E214AA"/>
    <w:rsid w:val="00E2346D"/>
    <w:rsid w:val="00E238E7"/>
    <w:rsid w:val="00E2411C"/>
    <w:rsid w:val="00E2788C"/>
    <w:rsid w:val="00E332BA"/>
    <w:rsid w:val="00E424BD"/>
    <w:rsid w:val="00E42DA3"/>
    <w:rsid w:val="00E457E2"/>
    <w:rsid w:val="00E47DFA"/>
    <w:rsid w:val="00E5348A"/>
    <w:rsid w:val="00E55BB4"/>
    <w:rsid w:val="00E568D8"/>
    <w:rsid w:val="00E60F0C"/>
    <w:rsid w:val="00E61A54"/>
    <w:rsid w:val="00E624D5"/>
    <w:rsid w:val="00E66BA5"/>
    <w:rsid w:val="00E7363D"/>
    <w:rsid w:val="00E74101"/>
    <w:rsid w:val="00E7534C"/>
    <w:rsid w:val="00E803FB"/>
    <w:rsid w:val="00E911DD"/>
    <w:rsid w:val="00E91C1A"/>
    <w:rsid w:val="00E91D4A"/>
    <w:rsid w:val="00EA1510"/>
    <w:rsid w:val="00EA3A4E"/>
    <w:rsid w:val="00EA3E0F"/>
    <w:rsid w:val="00EB0779"/>
    <w:rsid w:val="00EB350B"/>
    <w:rsid w:val="00EB50C1"/>
    <w:rsid w:val="00EC5307"/>
    <w:rsid w:val="00EC652B"/>
    <w:rsid w:val="00ED0A46"/>
    <w:rsid w:val="00ED10DA"/>
    <w:rsid w:val="00ED6664"/>
    <w:rsid w:val="00ED754A"/>
    <w:rsid w:val="00EE2333"/>
    <w:rsid w:val="00EE2735"/>
    <w:rsid w:val="00EE37BA"/>
    <w:rsid w:val="00EE65D2"/>
    <w:rsid w:val="00EE7953"/>
    <w:rsid w:val="00EE7A8C"/>
    <w:rsid w:val="00EE7DEF"/>
    <w:rsid w:val="00EF0708"/>
    <w:rsid w:val="00EF3164"/>
    <w:rsid w:val="00EF3171"/>
    <w:rsid w:val="00EF45A7"/>
    <w:rsid w:val="00EF4877"/>
    <w:rsid w:val="00EF4B9B"/>
    <w:rsid w:val="00F02208"/>
    <w:rsid w:val="00F063EA"/>
    <w:rsid w:val="00F11785"/>
    <w:rsid w:val="00F12436"/>
    <w:rsid w:val="00F24061"/>
    <w:rsid w:val="00F241B1"/>
    <w:rsid w:val="00F278AC"/>
    <w:rsid w:val="00F33D29"/>
    <w:rsid w:val="00F35D6B"/>
    <w:rsid w:val="00F37888"/>
    <w:rsid w:val="00F44014"/>
    <w:rsid w:val="00F44B55"/>
    <w:rsid w:val="00F45A74"/>
    <w:rsid w:val="00F462A2"/>
    <w:rsid w:val="00F559BE"/>
    <w:rsid w:val="00F55F9C"/>
    <w:rsid w:val="00F56CE7"/>
    <w:rsid w:val="00F6661D"/>
    <w:rsid w:val="00F72E87"/>
    <w:rsid w:val="00F80483"/>
    <w:rsid w:val="00F869E3"/>
    <w:rsid w:val="00F8771A"/>
    <w:rsid w:val="00F90C59"/>
    <w:rsid w:val="00F913EC"/>
    <w:rsid w:val="00F93A6F"/>
    <w:rsid w:val="00FA392F"/>
    <w:rsid w:val="00FA570A"/>
    <w:rsid w:val="00FA5A15"/>
    <w:rsid w:val="00FA77E5"/>
    <w:rsid w:val="00FB00BF"/>
    <w:rsid w:val="00FB3210"/>
    <w:rsid w:val="00FB419E"/>
    <w:rsid w:val="00FB55B3"/>
    <w:rsid w:val="00FC773A"/>
    <w:rsid w:val="00FD408D"/>
    <w:rsid w:val="00FD669E"/>
    <w:rsid w:val="00FD7F11"/>
    <w:rsid w:val="00FE1D87"/>
    <w:rsid w:val="00FE6DCD"/>
    <w:rsid w:val="00FF76D7"/>
    <w:rsid w:val="00FF797F"/>
    <w:rsid w:val="018C4257"/>
    <w:rsid w:val="027027E3"/>
    <w:rsid w:val="0C791CC7"/>
    <w:rsid w:val="0E0029FC"/>
    <w:rsid w:val="10682DE9"/>
    <w:rsid w:val="14F8698E"/>
    <w:rsid w:val="15740AC7"/>
    <w:rsid w:val="16CE30A8"/>
    <w:rsid w:val="19AB36F9"/>
    <w:rsid w:val="1B10559A"/>
    <w:rsid w:val="1BF575BD"/>
    <w:rsid w:val="22405964"/>
    <w:rsid w:val="24DD55D2"/>
    <w:rsid w:val="24DE487E"/>
    <w:rsid w:val="254B0C73"/>
    <w:rsid w:val="285038FC"/>
    <w:rsid w:val="2B835F83"/>
    <w:rsid w:val="2FE93C2E"/>
    <w:rsid w:val="31FB2500"/>
    <w:rsid w:val="32F406F5"/>
    <w:rsid w:val="367C59C7"/>
    <w:rsid w:val="40824264"/>
    <w:rsid w:val="44960D0D"/>
    <w:rsid w:val="458311C0"/>
    <w:rsid w:val="494A0C77"/>
    <w:rsid w:val="4DF34D8E"/>
    <w:rsid w:val="50774ADA"/>
    <w:rsid w:val="5225491A"/>
    <w:rsid w:val="58287CD1"/>
    <w:rsid w:val="5DC06FCD"/>
    <w:rsid w:val="647D52DC"/>
    <w:rsid w:val="6B82307E"/>
    <w:rsid w:val="70467D82"/>
    <w:rsid w:val="750A3103"/>
    <w:rsid w:val="76E136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ocked="1"/>
    <w:lsdException w:uiPriority="0" w:name="toc 2" w:locked="1"/>
    <w:lsdException w:uiPriority="0" w:name="toc 3" w:locked="1"/>
    <w:lsdException w:uiPriority="0" w:name="toc 4" w:locked="1"/>
    <w:lsdException w:uiPriority="0" w:name="toc 5" w:locked="1"/>
    <w:lsdException w:uiPriority="0" w:name="toc 6" w:locked="1"/>
    <w:lsdException w:uiPriority="0" w:name="toc 7" w:locked="1"/>
    <w:lsdException w:uiPriority="0" w:name="toc 8" w:locked="1"/>
    <w:lsdException w:uiPriority="0" w:name="toc 9" w:locked="1"/>
    <w:lsdException w:uiPriority="0" w:name="Normal Indent"/>
    <w:lsdException w:uiPriority="0" w:name="footnote text"/>
    <w:lsdException w:qFormat="1"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ocked="1"/>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ocked="1"/>
    <w:lsdException w:qFormat="1" w:unhideWhenUsed="0" w:uiPriority="0" w:semiHidden="0" w:name="Emphasis" w:locked="1"/>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ocked="1"/>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8"/>
    <w:qFormat/>
    <w:uiPriority w:val="0"/>
    <w:pPr>
      <w:widowControl/>
      <w:spacing w:before="100" w:beforeAutospacing="1" w:after="100" w:afterAutospacing="1"/>
      <w:jc w:val="left"/>
      <w:outlineLvl w:val="0"/>
    </w:pPr>
    <w:rPr>
      <w:rFonts w:ascii="宋体" w:hAnsi="宋体" w:cs="宋体"/>
      <w:b/>
      <w:bCs/>
      <w:kern w:val="36"/>
      <w:sz w:val="48"/>
      <w:szCs w:val="48"/>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3">
    <w:name w:val="Document Map"/>
    <w:basedOn w:val="1"/>
    <w:link w:val="23"/>
    <w:semiHidden/>
    <w:qFormat/>
    <w:uiPriority w:val="0"/>
    <w:pPr>
      <w:shd w:val="clear" w:color="auto" w:fill="000080"/>
    </w:pPr>
  </w:style>
  <w:style w:type="paragraph" w:styleId="4">
    <w:name w:val="annotation text"/>
    <w:basedOn w:val="1"/>
    <w:link w:val="33"/>
    <w:semiHidden/>
    <w:unhideWhenUsed/>
    <w:qFormat/>
    <w:uiPriority w:val="0"/>
    <w:pPr>
      <w:jc w:val="left"/>
    </w:pPr>
  </w:style>
  <w:style w:type="paragraph" w:styleId="5">
    <w:name w:val="Body Text"/>
    <w:basedOn w:val="1"/>
    <w:qFormat/>
    <w:uiPriority w:val="0"/>
    <w:pPr>
      <w:jc w:val="center"/>
    </w:pPr>
    <w:rPr>
      <w:rFonts w:ascii="仿宋_GB2312" w:hAnsi="仿宋_GB2312" w:eastAsia="黑体"/>
    </w:rPr>
  </w:style>
  <w:style w:type="paragraph" w:styleId="6">
    <w:name w:val="Body Text Indent"/>
    <w:basedOn w:val="1"/>
    <w:link w:val="20"/>
    <w:qFormat/>
    <w:uiPriority w:val="0"/>
    <w:pPr>
      <w:spacing w:line="360" w:lineRule="auto"/>
      <w:ind w:left="360"/>
    </w:pPr>
    <w:rPr>
      <w:sz w:val="24"/>
    </w:rPr>
  </w:style>
  <w:style w:type="paragraph" w:styleId="7">
    <w:name w:val="Body Text Indent 2"/>
    <w:basedOn w:val="1"/>
    <w:link w:val="21"/>
    <w:qFormat/>
    <w:uiPriority w:val="0"/>
    <w:pPr>
      <w:ind w:firstLine="636" w:firstLineChars="227"/>
    </w:pPr>
    <w:rPr>
      <w:sz w:val="28"/>
    </w:rPr>
  </w:style>
  <w:style w:type="paragraph" w:styleId="8">
    <w:name w:val="Balloon Text"/>
    <w:basedOn w:val="1"/>
    <w:link w:val="24"/>
    <w:semiHidden/>
    <w:qFormat/>
    <w:uiPriority w:val="0"/>
    <w:rPr>
      <w:sz w:val="18"/>
      <w:szCs w:val="18"/>
    </w:rPr>
  </w:style>
  <w:style w:type="paragraph" w:styleId="9">
    <w:name w:val="footer"/>
    <w:basedOn w:val="1"/>
    <w:link w:val="25"/>
    <w:qFormat/>
    <w:uiPriority w:val="0"/>
    <w:pPr>
      <w:tabs>
        <w:tab w:val="center" w:pos="4153"/>
        <w:tab w:val="right" w:pos="8306"/>
      </w:tabs>
      <w:snapToGrid w:val="0"/>
      <w:jc w:val="left"/>
    </w:pPr>
    <w:rPr>
      <w:sz w:val="18"/>
      <w:szCs w:val="18"/>
    </w:rPr>
  </w:style>
  <w:style w:type="paragraph" w:styleId="10">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11">
    <w:name w:val="Body Text Indent 3"/>
    <w:basedOn w:val="1"/>
    <w:link w:val="22"/>
    <w:qFormat/>
    <w:uiPriority w:val="0"/>
    <w:pPr>
      <w:ind w:left="-250" w:leftChars="-250" w:firstLine="560" w:firstLineChars="200"/>
    </w:pPr>
    <w:rPr>
      <w:rFonts w:eastAsia="仿宋_GB2312"/>
      <w:sz w:val="28"/>
    </w:rPr>
  </w:style>
  <w:style w:type="paragraph" w:styleId="12">
    <w:name w:val="annotation subject"/>
    <w:basedOn w:val="4"/>
    <w:next w:val="4"/>
    <w:link w:val="34"/>
    <w:semiHidden/>
    <w:unhideWhenUsed/>
    <w:qFormat/>
    <w:uiPriority w:val="0"/>
    <w:rPr>
      <w:b/>
      <w:bCs/>
    </w:rPr>
  </w:style>
  <w:style w:type="character" w:styleId="15">
    <w:name w:val="page number"/>
    <w:basedOn w:val="14"/>
    <w:qFormat/>
    <w:uiPriority w:val="0"/>
    <w:rPr>
      <w:rFonts w:cs="Times New Roman"/>
    </w:rPr>
  </w:style>
  <w:style w:type="character" w:styleId="16">
    <w:name w:val="Hyperlink"/>
    <w:basedOn w:val="14"/>
    <w:qFormat/>
    <w:uiPriority w:val="0"/>
    <w:rPr>
      <w:rFonts w:cs="Times New Roman"/>
      <w:color w:val="0000FF"/>
      <w:u w:val="single"/>
    </w:rPr>
  </w:style>
  <w:style w:type="character" w:styleId="17">
    <w:name w:val="annotation reference"/>
    <w:basedOn w:val="14"/>
    <w:semiHidden/>
    <w:unhideWhenUsed/>
    <w:qFormat/>
    <w:uiPriority w:val="0"/>
    <w:rPr>
      <w:sz w:val="21"/>
      <w:szCs w:val="21"/>
    </w:rPr>
  </w:style>
  <w:style w:type="character" w:customStyle="1" w:styleId="18">
    <w:name w:val="标题 1 字符"/>
    <w:basedOn w:val="14"/>
    <w:link w:val="2"/>
    <w:qFormat/>
    <w:locked/>
    <w:uiPriority w:val="0"/>
    <w:rPr>
      <w:rFonts w:cs="Times New Roman"/>
      <w:b/>
      <w:bCs/>
      <w:kern w:val="44"/>
      <w:sz w:val="44"/>
      <w:szCs w:val="44"/>
    </w:rPr>
  </w:style>
  <w:style w:type="character" w:customStyle="1" w:styleId="19">
    <w:name w:val="black000"/>
    <w:basedOn w:val="14"/>
    <w:qFormat/>
    <w:uiPriority w:val="0"/>
    <w:rPr>
      <w:rFonts w:cs="Times New Roman"/>
    </w:rPr>
  </w:style>
  <w:style w:type="character" w:customStyle="1" w:styleId="20">
    <w:name w:val="正文文本缩进 字符"/>
    <w:basedOn w:val="14"/>
    <w:link w:val="6"/>
    <w:semiHidden/>
    <w:qFormat/>
    <w:locked/>
    <w:uiPriority w:val="0"/>
    <w:rPr>
      <w:rFonts w:cs="Times New Roman"/>
      <w:sz w:val="24"/>
      <w:szCs w:val="24"/>
    </w:rPr>
  </w:style>
  <w:style w:type="character" w:customStyle="1" w:styleId="21">
    <w:name w:val="正文文本缩进 2 字符"/>
    <w:basedOn w:val="14"/>
    <w:link w:val="7"/>
    <w:semiHidden/>
    <w:qFormat/>
    <w:locked/>
    <w:uiPriority w:val="0"/>
    <w:rPr>
      <w:rFonts w:cs="Times New Roman"/>
      <w:sz w:val="24"/>
      <w:szCs w:val="24"/>
    </w:rPr>
  </w:style>
  <w:style w:type="character" w:customStyle="1" w:styleId="22">
    <w:name w:val="正文文本缩进 3 字符"/>
    <w:basedOn w:val="14"/>
    <w:link w:val="11"/>
    <w:semiHidden/>
    <w:qFormat/>
    <w:locked/>
    <w:uiPriority w:val="0"/>
    <w:rPr>
      <w:rFonts w:cs="Times New Roman"/>
      <w:sz w:val="16"/>
      <w:szCs w:val="16"/>
    </w:rPr>
  </w:style>
  <w:style w:type="character" w:customStyle="1" w:styleId="23">
    <w:name w:val="文档结构图 字符"/>
    <w:basedOn w:val="14"/>
    <w:link w:val="3"/>
    <w:semiHidden/>
    <w:qFormat/>
    <w:locked/>
    <w:uiPriority w:val="0"/>
    <w:rPr>
      <w:rFonts w:cs="Times New Roman"/>
      <w:sz w:val="2"/>
    </w:rPr>
  </w:style>
  <w:style w:type="character" w:customStyle="1" w:styleId="24">
    <w:name w:val="批注框文本 字符"/>
    <w:basedOn w:val="14"/>
    <w:link w:val="8"/>
    <w:semiHidden/>
    <w:qFormat/>
    <w:locked/>
    <w:uiPriority w:val="0"/>
    <w:rPr>
      <w:rFonts w:cs="Times New Roman"/>
      <w:sz w:val="2"/>
    </w:rPr>
  </w:style>
  <w:style w:type="character" w:customStyle="1" w:styleId="25">
    <w:name w:val="页脚 字符"/>
    <w:basedOn w:val="14"/>
    <w:link w:val="9"/>
    <w:semiHidden/>
    <w:qFormat/>
    <w:locked/>
    <w:uiPriority w:val="0"/>
    <w:rPr>
      <w:rFonts w:cs="Times New Roman"/>
      <w:sz w:val="18"/>
      <w:szCs w:val="18"/>
    </w:rPr>
  </w:style>
  <w:style w:type="character" w:customStyle="1" w:styleId="26">
    <w:name w:val="页眉 字符"/>
    <w:basedOn w:val="14"/>
    <w:link w:val="10"/>
    <w:qFormat/>
    <w:locked/>
    <w:uiPriority w:val="0"/>
    <w:rPr>
      <w:rFonts w:cs="Times New Roman"/>
      <w:kern w:val="2"/>
      <w:sz w:val="18"/>
    </w:rPr>
  </w:style>
  <w:style w:type="paragraph" w:customStyle="1" w:styleId="27">
    <w:name w:val="List Paragraph1"/>
    <w:basedOn w:val="1"/>
    <w:qFormat/>
    <w:uiPriority w:val="0"/>
    <w:pPr>
      <w:ind w:firstLine="420" w:firstLineChars="200"/>
    </w:pPr>
  </w:style>
  <w:style w:type="paragraph" w:customStyle="1" w:styleId="28">
    <w:name w:val="Char Char Char Char"/>
    <w:basedOn w:val="1"/>
    <w:qFormat/>
    <w:uiPriority w:val="0"/>
    <w:rPr>
      <w:szCs w:val="20"/>
    </w:rPr>
  </w:style>
  <w:style w:type="character" w:customStyle="1" w:styleId="29">
    <w:name w:val="apple-converted-space"/>
    <w:basedOn w:val="14"/>
    <w:qFormat/>
    <w:uiPriority w:val="0"/>
    <w:rPr>
      <w:rFonts w:cs="Times New Roman"/>
    </w:rPr>
  </w:style>
  <w:style w:type="paragraph" w:customStyle="1" w:styleId="30">
    <w:name w:val="列出段落1"/>
    <w:basedOn w:val="1"/>
    <w:qFormat/>
    <w:uiPriority w:val="0"/>
    <w:pPr>
      <w:ind w:firstLine="420" w:firstLineChars="200"/>
    </w:pPr>
    <w:rPr>
      <w:rFonts w:ascii="Calibri" w:hAnsi="Calibri"/>
      <w:szCs w:val="22"/>
    </w:rPr>
  </w:style>
  <w:style w:type="paragraph" w:styleId="31">
    <w:name w:val="List Paragraph"/>
    <w:basedOn w:val="1"/>
    <w:qFormat/>
    <w:uiPriority w:val="34"/>
    <w:pPr>
      <w:ind w:firstLine="420" w:firstLineChars="200"/>
    </w:pPr>
  </w:style>
  <w:style w:type="paragraph" w:customStyle="1" w:styleId="32">
    <w:name w:val="List Paragraph2"/>
    <w:basedOn w:val="1"/>
    <w:qFormat/>
    <w:uiPriority w:val="0"/>
    <w:pPr>
      <w:ind w:firstLine="420" w:firstLineChars="200"/>
    </w:pPr>
  </w:style>
  <w:style w:type="character" w:customStyle="1" w:styleId="33">
    <w:name w:val="批注文字 字符"/>
    <w:basedOn w:val="14"/>
    <w:link w:val="4"/>
    <w:semiHidden/>
    <w:qFormat/>
    <w:uiPriority w:val="0"/>
    <w:rPr>
      <w:kern w:val="2"/>
      <w:sz w:val="21"/>
      <w:szCs w:val="24"/>
    </w:rPr>
  </w:style>
  <w:style w:type="character" w:customStyle="1" w:styleId="34">
    <w:name w:val="批注主题 字符"/>
    <w:basedOn w:val="33"/>
    <w:link w:val="12"/>
    <w:semiHidden/>
    <w:qFormat/>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87CBD12-68B6-41C4-A4D9-9524939A0F38}">
  <ds:schemaRefs/>
</ds:datastoreItem>
</file>

<file path=docProps/app.xml><?xml version="1.0" encoding="utf-8"?>
<Properties xmlns="http://schemas.openxmlformats.org/officeDocument/2006/extended-properties" xmlns:vt="http://schemas.openxmlformats.org/officeDocument/2006/docPropsVTypes">
  <Template>Normal</Template>
  <Company>ChengJiaoChu</Company>
  <Pages>21</Pages>
  <Words>3997</Words>
  <Characters>4388</Characters>
  <Lines>37</Lines>
  <Paragraphs>10</Paragraphs>
  <TotalTime>451</TotalTime>
  <ScaleCrop>false</ScaleCrop>
  <LinksUpToDate>false</LinksUpToDate>
  <CharactersWithSpaces>4424</CharactersWithSpaces>
  <Application>WPS Office_11.1.0.11830_F1E327BC-269C-435d-A152-05C5408002CA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2022-05-19T03:43:00Z</dcterms:created>
  <dc:creator>zhang</dc:creator>
  <cp:lastModifiedBy>yang</cp:lastModifiedBy>
  <cp:lastPrinted>2022-05-25T01:42:00Z</cp:lastPrinted>
  <dcterms:modified xsi:type="dcterms:W3CDTF">2022-06-27T00:59:21Z</dcterms:modified>
  <dc:title>维修电工竞赛技术纲要</dc:title>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298B09992CF74FB5A856C1392DE2E9D5</vt:lpwstr>
  </property>
</Properties>
</file>