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-216535</wp:posOffset>
                </wp:positionH>
                <wp:positionV relativeFrom="paragraph">
                  <wp:posOffset>100330</wp:posOffset>
                </wp:positionV>
                <wp:extent cx="2076450" cy="457200"/>
                <wp:effectExtent l="6350" t="6350" r="12700" b="11430"/>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76450" cy="457200"/>
                        </a:xfrm>
                        <a:prstGeom prst="rect">
                          <a:avLst/>
                        </a:prstGeom>
                        <a:solidFill>
                          <a:srgbClr val="FFFFFF"/>
                        </a:solidFill>
                        <a:ln w="12700">
                          <a:solidFill>
                            <a:srgbClr val="000000"/>
                          </a:solidFill>
                          <a:miter lim="800000"/>
                        </a:ln>
                      </wps:spPr>
                      <wps:txbx>
                        <w:txbxContent>
                          <w:p>
                            <w:pPr>
                              <w:spacing w:line="280" w:lineRule="exact"/>
                              <w:ind w:firstLine="0" w:firstLineChars="0"/>
                              <w:jc w:val="center"/>
                              <w:rPr>
                                <w:rFonts w:ascii="宋体" w:hAnsi="宋体" w:eastAsia="宋体"/>
                                <w:b/>
                                <w:bCs/>
                              </w:rPr>
                            </w:pPr>
                            <w:r>
                              <w:rPr>
                                <w:rFonts w:hint="eastAsia" w:ascii="宋体" w:hAnsi="宋体" w:eastAsia="宋体"/>
                                <w:b/>
                                <w:bCs/>
                              </w:rPr>
                              <w:t>第十</w:t>
                            </w:r>
                            <w:r>
                              <w:rPr>
                                <w:rFonts w:hint="eastAsia" w:ascii="宋体" w:hAnsi="宋体" w:eastAsia="宋体"/>
                                <w:b/>
                                <w:bCs/>
                                <w:lang w:val="en-US" w:eastAsia="zh-CN"/>
                              </w:rPr>
                              <w:t>七</w:t>
                            </w:r>
                            <w:r>
                              <w:rPr>
                                <w:rFonts w:hint="eastAsia" w:ascii="宋体" w:hAnsi="宋体" w:eastAsia="宋体"/>
                                <w:b/>
                                <w:bCs/>
                              </w:rPr>
                              <w:t>届“振兴杯”全国</w:t>
                            </w:r>
                          </w:p>
                          <w:p>
                            <w:pPr>
                              <w:spacing w:line="280" w:lineRule="exact"/>
                              <w:ind w:firstLine="0" w:firstLineChars="0"/>
                              <w:jc w:val="center"/>
                              <w:rPr>
                                <w:rFonts w:ascii="宋体" w:hAnsi="宋体" w:eastAsia="宋体"/>
                                <w:b/>
                                <w:bCs/>
                              </w:rPr>
                            </w:pPr>
                            <w:r>
                              <w:rPr>
                                <w:rFonts w:hint="eastAsia" w:ascii="宋体" w:hAnsi="宋体" w:eastAsia="宋体"/>
                                <w:b/>
                                <w:bCs/>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7.05pt;margin-top:7.9pt;height:36pt;width:163.5pt;z-index:251659264;mso-width-relative:page;mso-height-relative:page;" fillcolor="#FFFFFF" filled="t" stroked="t" coordsize="21600,21600" o:gfxdata="UEsDBAoAAAAAAIdO4kAAAAAAAAAAAAAAAAAEAAAAZHJzL1BLAwQUAAAACACHTuJAiGYPCdwAAAAJ&#10;AQAADwAAAGRycy9kb3ducmV2LnhtbE2Py07DMBBF90j8gzVIbFBrJzyahjhdQCvEphJtJcTOTaZJ&#10;1HgcYidt/55hBcvRPbpzbrY421aM2PvGkYZoqkAgFa5sqNKw264mCQgfDJWmdYQaLuhhkV9fZSYt&#10;3Yk+cNyESnAJ+dRoqEPoUil9UaM1fuo6JM4Orrcm8NlXsuzNicttK2OlnqQ1DfGH2nT4UmNx3AxW&#10;w/rySd9vgzqM713ytTuul6+ru6XWtzeRegYR8Bz+YPjVZ3XI2WnvBiq9aDVM7h8iRjl45AkMxPN4&#10;DmKvIZklIPNM/l+Q/wBQSwMEFAAAAAgAh07iQHWktaQrAgAAhwQAAA4AAABkcnMvZTJvRG9jLnht&#10;bK1UwW7bMAy9D9g/CLovToK06Yw6RZcgw4BuHdDuAxRZjoVJokYpsbOvHyW7XdANQw/zQZBE6vHx&#10;kfT1TW8NOyoMGlzFZ5MpZ8pJqLXbV/zb4/bdFWchClcLA05V/KQCv1m9fXPd+VLNoQVTK2QE4kLZ&#10;+Yq3MfqyKIJslRVhAl45MjaAVkQ64r6oUXSEbk0xn04viw6w9ghShUC3m8HIR0R8DSA0jZZqA/Jg&#10;lYsDKiojIqUUWu0DX2W2TaNkvG+aoCIzFadMY14pCO13aS1W16Lco/CtliMF8RoKL3KyQjsK+gy1&#10;EVGwA+o/oKyWCAGaOJFgiyGRrAhlMZu+0OahFV7lXEjq4J9FD/8PVn45fkWma+oEzpywVPBH1Uf2&#10;AXq2SOp0PpTk9ODJLfZ0nTxTpsHfgfwemIN1K9xe3SJC1ypRE7tZelmcPR1wQgLZdZ+hpjDiECED&#10;9Q3aBEhiMEKnypyeK5OoSLqcT5eXiwsySbItLpbUSDmEKJ9eewzxowLL0qbiSJXP6OJ4F2JiI8on&#10;l8wejK632ph8wP1ubZAdBXXJNn8jejh3M451lNt8ScH/jTHN398wrI40PUbbil+dOxk3CpY0GtSK&#10;/a4fC7CD+kTSIQz9S9NLmxbwJ2cd9W7Fw4+DQMWZ+eRI/vezxSI1ez5ktTjDc8vu3CKcJKiKR86G&#10;7ToOA3LwqPctRRoK7uCWStborGaq7cBq5E39mUUeZykNwPk5e/3+f6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IhmDwncAAAACQEAAA8AAAAAAAAAAQAgAAAAIgAAAGRycy9kb3ducmV2LnhtbFBL&#10;AQIUABQAAAAIAIdO4kB1pLWkKwIAAIcEAAAOAAAAAAAAAAEAIAAAACsBAABkcnMvZTJvRG9jLnht&#10;bFBLBQYAAAAABgAGAFkBAADIBQAAAAA=&#10;">
                <v:fill on="t" focussize="0,0"/>
                <v:stroke weight="1pt" color="#000000" miterlimit="8" joinstyle="miter"/>
                <v:imagedata o:title=""/>
                <o:lock v:ext="edit" aspectratio="f"/>
                <v:textbox>
                  <w:txbxContent>
                    <w:p>
                      <w:pPr>
                        <w:spacing w:line="280" w:lineRule="exact"/>
                        <w:ind w:firstLine="0" w:firstLineChars="0"/>
                        <w:jc w:val="center"/>
                        <w:rPr>
                          <w:rFonts w:ascii="宋体" w:hAnsi="宋体" w:eastAsia="宋体"/>
                          <w:b/>
                          <w:bCs/>
                        </w:rPr>
                      </w:pPr>
                      <w:r>
                        <w:rPr>
                          <w:rFonts w:hint="eastAsia" w:ascii="宋体" w:hAnsi="宋体" w:eastAsia="宋体"/>
                          <w:b/>
                          <w:bCs/>
                        </w:rPr>
                        <w:t>第十</w:t>
                      </w:r>
                      <w:r>
                        <w:rPr>
                          <w:rFonts w:hint="eastAsia" w:ascii="宋体" w:hAnsi="宋体" w:eastAsia="宋体"/>
                          <w:b/>
                          <w:bCs/>
                          <w:lang w:val="en-US" w:eastAsia="zh-CN"/>
                        </w:rPr>
                        <w:t>七</w:t>
                      </w:r>
                      <w:r>
                        <w:rPr>
                          <w:rFonts w:hint="eastAsia" w:ascii="宋体" w:hAnsi="宋体" w:eastAsia="宋体"/>
                          <w:b/>
                          <w:bCs/>
                        </w:rPr>
                        <w:t>届“振兴杯”全国</w:t>
                      </w:r>
                    </w:p>
                    <w:p>
                      <w:pPr>
                        <w:spacing w:line="280" w:lineRule="exact"/>
                        <w:ind w:firstLine="0" w:firstLineChars="0"/>
                        <w:jc w:val="center"/>
                        <w:rPr>
                          <w:rFonts w:ascii="宋体" w:hAnsi="宋体" w:eastAsia="宋体"/>
                          <w:b/>
                          <w:bCs/>
                        </w:rPr>
                      </w:pPr>
                      <w:r>
                        <w:rPr>
                          <w:rFonts w:hint="eastAsia" w:ascii="宋体" w:hAnsi="宋体" w:eastAsia="宋体"/>
                          <w:b/>
                          <w:bCs/>
                        </w:rPr>
                        <w:t>青年职业技能大赛技术文件</w:t>
                      </w:r>
                    </w:p>
                  </w:txbxContent>
                </v:textbox>
              </v:shape>
            </w:pict>
          </mc:Fallback>
        </mc:AlternateContent>
      </w:r>
    </w:p>
    <w:p>
      <w:pPr>
        <w:ind w:firstLine="1040"/>
        <w:jc w:val="center"/>
        <w:rPr>
          <w:rFonts w:ascii="华文新魏" w:eastAsia="华文新魏"/>
          <w:sz w:val="52"/>
          <w:szCs w:val="52"/>
        </w:rPr>
      </w:pPr>
    </w:p>
    <w:p>
      <w:pPr>
        <w:ind w:firstLine="1040"/>
        <w:jc w:val="center"/>
        <w:rPr>
          <w:rFonts w:ascii="华文新魏" w:eastAsia="华文新魏"/>
          <w:sz w:val="52"/>
          <w:szCs w:val="52"/>
        </w:rPr>
      </w:pPr>
    </w:p>
    <w:p>
      <w:pPr>
        <w:ind w:firstLine="0" w:firstLineChars="0"/>
        <w:jc w:val="center"/>
        <w:rPr>
          <w:rFonts w:hint="eastAsia" w:ascii="黑体" w:hAnsi="黑体" w:eastAsia="黑体" w:cs="黑体"/>
          <w:sz w:val="72"/>
          <w:szCs w:val="72"/>
          <w:lang w:eastAsia="zh-CN"/>
        </w:rPr>
      </w:pPr>
      <w:r>
        <w:rPr>
          <w:rFonts w:hint="eastAsia" w:ascii="黑体" w:hAnsi="黑体" w:eastAsia="黑体" w:cs="黑体"/>
          <w:sz w:val="72"/>
          <w:szCs w:val="72"/>
        </w:rPr>
        <w:t>计算机程序设计员</w:t>
      </w:r>
    </w:p>
    <w:p>
      <w:pPr>
        <w:ind w:firstLine="0" w:firstLineChars="0"/>
        <w:jc w:val="center"/>
        <w:rPr>
          <w:rFonts w:ascii="黑体" w:hAnsi="黑体" w:eastAsia="黑体" w:cs="黑体"/>
          <w:sz w:val="72"/>
          <w:szCs w:val="72"/>
        </w:rPr>
      </w:pPr>
      <w:r>
        <w:rPr>
          <w:rFonts w:hint="eastAsia" w:ascii="黑体" w:hAnsi="黑体" w:eastAsia="黑体" w:cs="黑体"/>
          <w:sz w:val="72"/>
          <w:szCs w:val="72"/>
        </w:rPr>
        <w:t>（云计算平台运维与开发）</w:t>
      </w:r>
      <w:r>
        <w:rPr>
          <w:rFonts w:hint="eastAsia" w:ascii="黑体" w:hAnsi="黑体" w:eastAsia="黑体" w:cs="黑体"/>
          <w:sz w:val="72"/>
          <w:szCs w:val="72"/>
          <w:lang w:eastAsia="zh-CN"/>
        </w:rPr>
        <w:t>（</w:t>
      </w:r>
      <w:r>
        <w:rPr>
          <w:rFonts w:hint="eastAsia" w:ascii="黑体" w:hAnsi="黑体" w:eastAsia="黑体" w:cs="黑体"/>
          <w:sz w:val="72"/>
          <w:szCs w:val="72"/>
          <w:lang w:val="en-US" w:eastAsia="zh-CN"/>
        </w:rPr>
        <w:t>职工组</w:t>
      </w:r>
      <w:r>
        <w:rPr>
          <w:rFonts w:hint="eastAsia" w:ascii="黑体" w:hAnsi="黑体" w:eastAsia="黑体" w:cs="黑体"/>
          <w:sz w:val="72"/>
          <w:szCs w:val="72"/>
          <w:lang w:eastAsia="zh-CN"/>
        </w:rPr>
        <w:t>）</w:t>
      </w:r>
    </w:p>
    <w:p>
      <w:pPr>
        <w:ind w:firstLine="0" w:firstLineChars="0"/>
        <w:jc w:val="center"/>
        <w:rPr>
          <w:rFonts w:ascii="黑体" w:hAnsi="黑体" w:eastAsia="黑体" w:cs="黑体"/>
          <w:sz w:val="72"/>
          <w:szCs w:val="72"/>
        </w:rPr>
      </w:pPr>
      <w:r>
        <w:rPr>
          <w:rFonts w:hint="eastAsia" w:ascii="黑体" w:hAnsi="黑体" w:eastAsia="黑体" w:cs="黑体"/>
          <w:sz w:val="72"/>
          <w:szCs w:val="72"/>
        </w:rPr>
        <w:t>决赛技术文件</w:t>
      </w:r>
    </w:p>
    <w:p>
      <w:pPr>
        <w:ind w:firstLine="480"/>
        <w:jc w:val="center"/>
        <w:rPr>
          <w:rFonts w:ascii="华文新魏" w:eastAsia="华文新魏"/>
          <w:color w:val="FF0000"/>
          <w:szCs w:val="21"/>
        </w:rPr>
      </w:pPr>
    </w:p>
    <w:p>
      <w:pPr>
        <w:ind w:firstLine="480"/>
        <w:jc w:val="center"/>
        <w:rPr>
          <w:rFonts w:ascii="华文新魏" w:eastAsia="华文新魏"/>
          <w:color w:val="FF0000"/>
          <w:szCs w:val="21"/>
        </w:rPr>
      </w:pPr>
    </w:p>
    <w:p>
      <w:pPr>
        <w:ind w:firstLine="480"/>
        <w:jc w:val="center"/>
        <w:rPr>
          <w:rFonts w:ascii="华文新魏" w:eastAsia="华文新魏"/>
          <w:color w:val="FF0000"/>
          <w:szCs w:val="21"/>
        </w:rPr>
      </w:pPr>
    </w:p>
    <w:p>
      <w:pPr>
        <w:ind w:firstLine="1040"/>
        <w:jc w:val="center"/>
        <w:rPr>
          <w:rFonts w:ascii="华文新魏" w:eastAsia="华文新魏"/>
          <w:sz w:val="52"/>
          <w:szCs w:val="52"/>
        </w:rPr>
      </w:pPr>
    </w:p>
    <w:p>
      <w:pPr>
        <w:ind w:firstLine="1040"/>
        <w:jc w:val="center"/>
        <w:rPr>
          <w:rFonts w:ascii="华文新魏" w:eastAsia="华文新魏"/>
          <w:sz w:val="52"/>
          <w:szCs w:val="52"/>
        </w:rPr>
      </w:pPr>
    </w:p>
    <w:p>
      <w:pPr>
        <w:ind w:firstLine="1040"/>
        <w:jc w:val="center"/>
        <w:rPr>
          <w:rFonts w:ascii="华文新魏" w:eastAsia="华文新魏"/>
          <w:sz w:val="52"/>
          <w:szCs w:val="52"/>
        </w:rPr>
      </w:pPr>
    </w:p>
    <w:p>
      <w:pPr>
        <w:ind w:left="0" w:leftChars="0" w:firstLine="0" w:firstLineChars="0"/>
        <w:jc w:val="both"/>
        <w:rPr>
          <w:rFonts w:ascii="华文新魏" w:eastAsia="华文新魏"/>
          <w:sz w:val="52"/>
          <w:szCs w:val="52"/>
        </w:rPr>
      </w:pPr>
    </w:p>
    <w:p>
      <w:pPr>
        <w:pStyle w:val="2"/>
      </w:pPr>
    </w:p>
    <w:p>
      <w:pPr>
        <w:ind w:firstLine="0" w:firstLineChars="0"/>
        <w:jc w:val="center"/>
        <w:rPr>
          <w:rFonts w:ascii="黑体" w:hAnsi="黑体" w:eastAsia="黑体" w:cs="黑体"/>
          <w:b/>
          <w:sz w:val="32"/>
          <w:szCs w:val="32"/>
        </w:rPr>
      </w:pPr>
      <w:r>
        <w:rPr>
          <w:rFonts w:hint="eastAsia" w:ascii="黑体" w:hAnsi="黑体" w:eastAsia="黑体" w:cs="黑体"/>
          <w:b/>
          <w:sz w:val="32"/>
          <w:szCs w:val="32"/>
        </w:rPr>
        <w:t>第十</w:t>
      </w:r>
      <w:r>
        <w:rPr>
          <w:rFonts w:hint="eastAsia" w:ascii="黑体" w:hAnsi="黑体" w:eastAsia="黑体" w:cs="黑体"/>
          <w:b/>
          <w:sz w:val="32"/>
          <w:szCs w:val="32"/>
          <w:lang w:val="en-US" w:eastAsia="zh-CN"/>
        </w:rPr>
        <w:t>七</w:t>
      </w:r>
      <w:r>
        <w:rPr>
          <w:rFonts w:hint="eastAsia" w:ascii="黑体" w:hAnsi="黑体" w:eastAsia="黑体" w:cs="黑体"/>
          <w:b/>
          <w:sz w:val="32"/>
          <w:szCs w:val="32"/>
        </w:rPr>
        <w:t>届“振兴杯”全国青年职业技能大赛组委会</w:t>
      </w:r>
    </w:p>
    <w:p>
      <w:pPr>
        <w:ind w:firstLine="0" w:firstLineChars="0"/>
        <w:jc w:val="center"/>
        <w:rPr>
          <w:rFonts w:ascii="黑体" w:hAnsi="黑体" w:eastAsia="黑体" w:cs="黑体"/>
          <w:bCs/>
          <w:sz w:val="32"/>
          <w:szCs w:val="32"/>
        </w:rPr>
      </w:pPr>
      <w:r>
        <w:rPr>
          <w:rFonts w:hint="eastAsia" w:ascii="黑体" w:hAnsi="黑体" w:eastAsia="黑体" w:cs="黑体"/>
          <w:b/>
          <w:sz w:val="32"/>
          <w:szCs w:val="32"/>
        </w:rPr>
        <w:t>202</w:t>
      </w:r>
      <w:r>
        <w:rPr>
          <w:rFonts w:hint="eastAsia" w:ascii="黑体" w:hAnsi="黑体" w:eastAsia="黑体" w:cs="黑体"/>
          <w:b/>
          <w:sz w:val="32"/>
          <w:szCs w:val="32"/>
          <w:lang w:val="en-US" w:eastAsia="zh-CN"/>
        </w:rPr>
        <w:t>2</w:t>
      </w:r>
      <w:r>
        <w:rPr>
          <w:rFonts w:hint="eastAsia" w:ascii="黑体" w:hAnsi="黑体" w:eastAsia="黑体" w:cs="黑体"/>
          <w:b/>
          <w:sz w:val="32"/>
          <w:szCs w:val="32"/>
        </w:rPr>
        <w:t>年5月</w:t>
      </w:r>
    </w:p>
    <w:p>
      <w:pPr>
        <w:spacing w:line="500" w:lineRule="exact"/>
        <w:ind w:firstLine="643"/>
        <w:jc w:val="center"/>
        <w:rPr>
          <w:rFonts w:asciiTheme="minorEastAsia" w:hAnsiTheme="minorEastAsia" w:eastAsiaTheme="minorEastAsia"/>
          <w:b/>
          <w:bCs/>
          <w:sz w:val="32"/>
          <w:szCs w:val="32"/>
        </w:rPr>
      </w:pPr>
    </w:p>
    <w:p>
      <w:pPr>
        <w:spacing w:line="500" w:lineRule="exact"/>
        <w:ind w:firstLine="0" w:firstLineChars="0"/>
        <w:jc w:val="center"/>
        <w:rPr>
          <w:rFonts w:ascii="黑体" w:hAnsi="黑体" w:eastAsia="黑体" w:cs="黑体"/>
          <w:b/>
          <w:bCs/>
          <w:sz w:val="32"/>
          <w:szCs w:val="32"/>
        </w:rPr>
      </w:pPr>
      <w:bookmarkStart w:id="1" w:name="_GoBack"/>
      <w:bookmarkEnd w:id="1"/>
      <w:r>
        <w:rPr>
          <w:rFonts w:hint="eastAsia" w:ascii="黑体" w:hAnsi="黑体" w:eastAsia="黑体" w:cs="黑体"/>
          <w:b/>
          <w:bCs/>
          <w:sz w:val="32"/>
          <w:szCs w:val="32"/>
        </w:rPr>
        <w:t>第十</w:t>
      </w:r>
      <w:r>
        <w:rPr>
          <w:rFonts w:hint="eastAsia" w:ascii="黑体" w:hAnsi="黑体" w:eastAsia="黑体" w:cs="黑体"/>
          <w:b/>
          <w:bCs/>
          <w:sz w:val="32"/>
          <w:szCs w:val="32"/>
          <w:lang w:val="en-US" w:eastAsia="zh-CN"/>
        </w:rPr>
        <w:t>七</w:t>
      </w:r>
      <w:r>
        <w:rPr>
          <w:rFonts w:hint="eastAsia" w:ascii="黑体" w:hAnsi="黑体" w:eastAsia="黑体" w:cs="黑体"/>
          <w:b/>
          <w:bCs/>
          <w:sz w:val="32"/>
          <w:szCs w:val="32"/>
        </w:rPr>
        <w:t>届“振兴杯”全国青年职业技能大赛</w:t>
      </w:r>
    </w:p>
    <w:p>
      <w:pPr>
        <w:spacing w:line="500" w:lineRule="exact"/>
        <w:ind w:firstLine="0" w:firstLineChars="0"/>
        <w:jc w:val="left"/>
        <w:rPr>
          <w:rFonts w:ascii="黑体" w:hAnsi="黑体" w:eastAsia="黑体" w:cs="黑体"/>
          <w:b/>
          <w:bCs/>
          <w:sz w:val="32"/>
          <w:szCs w:val="32"/>
        </w:rPr>
      </w:pPr>
      <w:r>
        <w:rPr>
          <w:rFonts w:hint="eastAsia" w:ascii="黑体" w:hAnsi="黑体" w:eastAsia="黑体" w:cs="黑体"/>
          <w:b/>
          <w:bCs/>
          <w:sz w:val="32"/>
          <w:szCs w:val="32"/>
        </w:rPr>
        <w:t>计算机程序设计员（云计算平台运维与开发）决赛技术文件</w:t>
      </w:r>
    </w:p>
    <w:p>
      <w:pPr>
        <w:pStyle w:val="5"/>
        <w:spacing w:before="156"/>
        <w:ind w:firstLine="602"/>
        <w:jc w:val="left"/>
        <w:rPr>
          <w:rFonts w:ascii="仿宋" w:hAnsi="仿宋" w:eastAsia="仿宋"/>
          <w:b/>
          <w:bCs/>
          <w:szCs w:val="28"/>
        </w:rPr>
      </w:pPr>
      <w:r>
        <w:rPr>
          <w:rFonts w:hint="eastAsia" w:ascii="黑体" w:hAnsi="黑体" w:cs="黑体"/>
          <w:b/>
          <w:bCs/>
          <w:szCs w:val="30"/>
        </w:rPr>
        <w:t>一、竞赛标准</w:t>
      </w:r>
    </w:p>
    <w:p>
      <w:pPr>
        <w:spacing w:line="360" w:lineRule="auto"/>
        <w:ind w:firstLine="480"/>
        <w:rPr>
          <w:rFonts w:ascii="Calibri" w:hAnsi="Calibri"/>
          <w:highlight w:val="yellow"/>
        </w:rPr>
      </w:pPr>
      <w:r>
        <w:rPr>
          <w:rFonts w:hint="eastAsia" w:ascii="Calibri" w:hAnsi="Calibri"/>
        </w:rPr>
        <w:t>计算机程序设计员（云计算平台运维与开发）竞赛项目的技术标准以云计算平台的开发、运维等相关职业技能标准为基础，</w:t>
      </w:r>
      <w:r>
        <w:rPr>
          <w:rFonts w:hint="eastAsia" w:ascii="Calibri" w:hAnsi="Calibri"/>
          <w:highlight w:val="none"/>
        </w:rPr>
        <w:t>涵盖相关内容。</w:t>
      </w:r>
    </w:p>
    <w:p>
      <w:pPr>
        <w:pStyle w:val="5"/>
        <w:spacing w:before="156"/>
        <w:ind w:firstLine="602"/>
      </w:pPr>
      <w:r>
        <w:rPr>
          <w:rFonts w:hint="eastAsia" w:ascii="黑体" w:hAnsi="黑体" w:cs="黑体"/>
          <w:b/>
          <w:bCs/>
          <w:szCs w:val="30"/>
        </w:rPr>
        <w:t>二、命题原则</w:t>
      </w:r>
    </w:p>
    <w:p>
      <w:pPr>
        <w:ind w:firstLine="480"/>
      </w:pPr>
      <w:r>
        <w:rPr>
          <w:rFonts w:hint="eastAsia" w:ascii="Calibri" w:hAnsi="Calibri"/>
        </w:rPr>
        <w:t>依据云计算平台的开发、运维的职业特点，注重基本技能和专业化操作，注重操作过程和质量控制，注重安全生产以及职业道德和标准规范，体现现代技术，结合生产实际，考核职业综合能力，并对技能人才培养起到示范指导作用。</w:t>
      </w:r>
    </w:p>
    <w:p>
      <w:pPr>
        <w:pStyle w:val="5"/>
        <w:spacing w:before="156"/>
        <w:ind w:firstLine="602"/>
        <w:rPr>
          <w:rFonts w:ascii="仿宋" w:hAnsi="仿宋" w:eastAsia="仿宋"/>
          <w:b/>
          <w:bCs/>
          <w:szCs w:val="28"/>
        </w:rPr>
      </w:pPr>
      <w:r>
        <w:rPr>
          <w:rFonts w:hint="eastAsia" w:ascii="黑体" w:hAnsi="黑体" w:cs="黑体"/>
          <w:b/>
          <w:bCs/>
          <w:szCs w:val="30"/>
        </w:rPr>
        <w:t>三、竞赛方式、时间与成绩计算</w:t>
      </w:r>
    </w:p>
    <w:p>
      <w:pPr>
        <w:tabs>
          <w:tab w:val="left" w:pos="3240"/>
        </w:tabs>
        <w:spacing w:line="360" w:lineRule="auto"/>
        <w:ind w:firstLine="480"/>
        <w:rPr>
          <w:rFonts w:ascii="Calibri" w:hAnsi="Calibri"/>
          <w:b/>
          <w:bCs/>
        </w:rPr>
      </w:pPr>
      <w:r>
        <w:rPr>
          <w:rFonts w:hint="eastAsia" w:ascii="Calibri" w:hAnsi="Calibri"/>
          <w:b/>
          <w:bCs/>
        </w:rPr>
        <w:t>（一）竞赛方式</w:t>
      </w:r>
    </w:p>
    <w:p>
      <w:pPr>
        <w:ind w:firstLine="480"/>
        <w:rPr>
          <w:rFonts w:ascii="Calibri" w:hAnsi="Calibri"/>
        </w:rPr>
      </w:pPr>
      <w:r>
        <w:rPr>
          <w:rFonts w:hint="eastAsia" w:ascii="Calibri" w:hAnsi="Calibri"/>
        </w:rPr>
        <w:t>包括理论知识和实际操作竞赛两部分，由两名选手组成参赛队合作完成。</w:t>
      </w:r>
    </w:p>
    <w:p>
      <w:pPr>
        <w:tabs>
          <w:tab w:val="left" w:pos="3240"/>
        </w:tabs>
        <w:spacing w:line="360" w:lineRule="auto"/>
        <w:ind w:firstLine="480"/>
        <w:rPr>
          <w:rFonts w:ascii="Calibri" w:hAnsi="Calibri"/>
          <w:b/>
          <w:bCs/>
        </w:rPr>
      </w:pPr>
      <w:r>
        <w:rPr>
          <w:rFonts w:hint="eastAsia" w:ascii="Calibri" w:hAnsi="Calibri"/>
          <w:b/>
          <w:bCs/>
        </w:rPr>
        <w:t>（二）竞赛时间</w:t>
      </w:r>
    </w:p>
    <w:p>
      <w:pPr>
        <w:ind w:firstLine="480"/>
      </w:pPr>
      <w:r>
        <w:rPr>
          <w:rFonts w:hint="eastAsia"/>
        </w:rPr>
        <w:t>1. 理论知识竞赛时间为</w:t>
      </w:r>
      <w:r>
        <w:rPr>
          <w:rFonts w:hint="eastAsia"/>
          <w:lang w:val="en-US" w:eastAsia="zh-CN"/>
        </w:rPr>
        <w:t>6</w:t>
      </w:r>
      <w:r>
        <w:rPr>
          <w:rFonts w:hint="eastAsia"/>
        </w:rPr>
        <w:t>0分钟。</w:t>
      </w:r>
    </w:p>
    <w:p>
      <w:pPr>
        <w:ind w:firstLine="480"/>
      </w:pPr>
      <w:r>
        <w:rPr>
          <w:rFonts w:hint="eastAsia"/>
        </w:rPr>
        <w:t xml:space="preserve">2. </w:t>
      </w:r>
      <w:r>
        <w:rPr>
          <w:rFonts w:hint="eastAsia"/>
          <w:highlight w:val="none"/>
        </w:rPr>
        <w:t>实际操作竞赛时间为1</w:t>
      </w:r>
      <w:r>
        <w:rPr>
          <w:rFonts w:hint="eastAsia"/>
          <w:highlight w:val="none"/>
          <w:lang w:val="en-US" w:eastAsia="zh-CN"/>
        </w:rPr>
        <w:t>8</w:t>
      </w:r>
      <w:r>
        <w:rPr>
          <w:rFonts w:hint="eastAsia"/>
          <w:highlight w:val="none"/>
        </w:rPr>
        <w:t>0分钟。</w:t>
      </w:r>
    </w:p>
    <w:p>
      <w:pPr>
        <w:ind w:firstLine="480"/>
        <w:rPr>
          <w:b/>
        </w:rPr>
      </w:pPr>
      <w:r>
        <w:rPr>
          <w:rFonts w:hint="eastAsia"/>
          <w:b/>
        </w:rPr>
        <w:t>（三）成绩计算</w:t>
      </w:r>
    </w:p>
    <w:p>
      <w:pPr>
        <w:ind w:firstLine="480"/>
        <w:rPr>
          <w:rFonts w:ascii="仿宋" w:hAnsi="仿宋" w:eastAsia="仿宋"/>
        </w:rPr>
      </w:pPr>
      <w:r>
        <w:rPr>
          <w:rFonts w:hint="eastAsia"/>
        </w:rPr>
        <w:t>竞赛总成绩由理论知识和实际操作竞赛两部分成绩组成。竞赛总成绩作为参赛队名次排序的依据。如果参赛队总成绩相同，实际操作竞赛成绩高的队伍名次在前，若实际操作竞赛成绩依然相同，则依次比较云平台运维、业务系统上云、云服务开发、云网络搭建与维护各模块的成绩。</w:t>
      </w:r>
    </w:p>
    <w:p>
      <w:pPr>
        <w:spacing w:line="360" w:lineRule="auto"/>
        <w:ind w:firstLine="480"/>
        <w:rPr>
          <w:rFonts w:ascii="Calibri" w:hAnsi="Calibri"/>
        </w:rPr>
      </w:pPr>
      <w:r>
        <w:rPr>
          <w:rFonts w:hint="eastAsia" w:ascii="Calibri" w:hAnsi="Calibri"/>
        </w:rPr>
        <w:t>1．理论知识竞赛（计算机答题）满分100分，占总成绩的30％（其中时事政治题占总成绩的10％）。</w:t>
      </w:r>
    </w:p>
    <w:p>
      <w:pPr>
        <w:pStyle w:val="5"/>
        <w:spacing w:before="156"/>
        <w:ind w:firstLine="480"/>
        <w:rPr>
          <w:rFonts w:ascii="Calibri" w:hAnsi="Calibri" w:eastAsia="华文细黑"/>
          <w:sz w:val="24"/>
        </w:rPr>
      </w:pPr>
      <w:r>
        <w:rPr>
          <w:rFonts w:hint="eastAsia" w:ascii="Calibri" w:hAnsi="Calibri" w:eastAsia="华文细黑"/>
          <w:sz w:val="24"/>
        </w:rPr>
        <w:t>2．实际操作成绩满分100分，占总成绩的70％。</w:t>
      </w:r>
    </w:p>
    <w:p>
      <w:pPr>
        <w:pStyle w:val="5"/>
        <w:spacing w:before="156"/>
        <w:ind w:firstLine="602"/>
        <w:rPr>
          <w:rFonts w:ascii="黑体" w:hAnsi="黑体" w:cs="黑体"/>
          <w:b/>
          <w:bCs/>
          <w:szCs w:val="30"/>
        </w:rPr>
      </w:pPr>
      <w:r>
        <w:rPr>
          <w:rFonts w:hint="eastAsia" w:ascii="黑体" w:hAnsi="黑体" w:cs="黑体"/>
          <w:b/>
          <w:bCs/>
          <w:szCs w:val="30"/>
        </w:rPr>
        <w:t>四、竞赛范围、比重、类型及其它</w:t>
      </w:r>
    </w:p>
    <w:p>
      <w:pPr>
        <w:tabs>
          <w:tab w:val="left" w:pos="3240"/>
        </w:tabs>
        <w:spacing w:line="360" w:lineRule="auto"/>
        <w:ind w:firstLine="480"/>
        <w:rPr>
          <w:rFonts w:ascii="Calibri" w:hAnsi="Calibri"/>
          <w:b/>
          <w:bCs/>
        </w:rPr>
      </w:pPr>
      <w:r>
        <w:rPr>
          <w:rFonts w:hint="eastAsia" w:ascii="Calibri" w:hAnsi="Calibri"/>
          <w:b/>
          <w:bCs/>
        </w:rPr>
        <w:t>（一）理论知识竞赛</w:t>
      </w:r>
    </w:p>
    <w:p>
      <w:pPr>
        <w:spacing w:line="360" w:lineRule="auto"/>
        <w:ind w:firstLine="480"/>
        <w:rPr>
          <w:rFonts w:ascii="Calibri" w:hAnsi="Calibri"/>
        </w:rPr>
      </w:pPr>
      <w:r>
        <w:rPr>
          <w:rFonts w:hint="eastAsia" w:ascii="Calibri" w:hAnsi="Calibri"/>
        </w:rPr>
        <w:t>1．试题范围</w:t>
      </w:r>
    </w:p>
    <w:p>
      <w:pPr>
        <w:spacing w:line="360" w:lineRule="auto"/>
        <w:ind w:firstLine="480"/>
        <w:rPr>
          <w:rFonts w:ascii="Calibri" w:hAnsi="Calibri"/>
        </w:rPr>
      </w:pPr>
      <w:r>
        <w:rPr>
          <w:rFonts w:hint="eastAsia" w:ascii="Calibri" w:hAnsi="Calibri"/>
        </w:rPr>
        <w:t>理论竞赛知识以竞赛题库作为参考资料，决赛前两个月在团中央网站上公布理论知识竞赛题库（不含时事政治题），时事政治题单独命题。</w:t>
      </w:r>
    </w:p>
    <w:p>
      <w:pPr>
        <w:spacing w:line="360" w:lineRule="auto"/>
        <w:ind w:firstLine="480"/>
        <w:rPr>
          <w:rFonts w:ascii="Calibri" w:hAnsi="Calibri"/>
        </w:rPr>
      </w:pPr>
      <w:r>
        <w:rPr>
          <w:rFonts w:hint="eastAsia" w:ascii="Calibri" w:hAnsi="Calibri"/>
        </w:rPr>
        <w:t>2．试题题型</w:t>
      </w:r>
    </w:p>
    <w:p>
      <w:pPr>
        <w:spacing w:line="360" w:lineRule="auto"/>
        <w:ind w:firstLine="480"/>
        <w:rPr>
          <w:rFonts w:ascii="Calibri" w:hAnsi="Calibri"/>
        </w:rPr>
      </w:pPr>
      <w:r>
        <w:rPr>
          <w:rFonts w:hint="eastAsia" w:ascii="Calibri" w:hAnsi="Calibri"/>
        </w:rPr>
        <w:t>竞赛试题包括判断题与选择题两种类型。</w:t>
      </w:r>
    </w:p>
    <w:p>
      <w:pPr>
        <w:spacing w:line="360" w:lineRule="auto"/>
        <w:ind w:firstLine="480"/>
        <w:rPr>
          <w:rFonts w:ascii="Calibri" w:hAnsi="Calibri"/>
        </w:rPr>
      </w:pPr>
      <w:r>
        <w:rPr>
          <w:rFonts w:hint="eastAsia" w:ascii="Calibri" w:hAnsi="Calibri"/>
        </w:rPr>
        <w:t>3．竞赛方式</w:t>
      </w:r>
    </w:p>
    <w:p>
      <w:pPr>
        <w:spacing w:line="360" w:lineRule="auto"/>
        <w:ind w:firstLine="480" w:firstLineChars="200"/>
      </w:pPr>
      <w:r>
        <w:rPr>
          <w:rFonts w:hint="eastAsia" w:ascii="Calibri" w:hAnsi="Calibri" w:eastAsia="华文细黑"/>
          <w:sz w:val="24"/>
        </w:rPr>
        <w:t>理论知识竞赛采用计算机软件答题。决赛前一个月可以在大赛官网上模拟答题。</w:t>
      </w:r>
    </w:p>
    <w:p>
      <w:pPr>
        <w:ind w:firstLine="480"/>
        <w:rPr>
          <w:b/>
        </w:rPr>
      </w:pPr>
      <w:r>
        <w:rPr>
          <w:rFonts w:hint="eastAsia"/>
          <w:b/>
        </w:rPr>
        <w:t>（二）实际操作竞赛</w:t>
      </w:r>
    </w:p>
    <w:p>
      <w:pPr>
        <w:ind w:firstLine="480"/>
        <w:rPr>
          <w:rFonts w:ascii="仿宋_GB2312" w:hAnsi="华文细黑" w:eastAsia="仿宋_GB2312"/>
          <w:szCs w:val="28"/>
        </w:rPr>
      </w:pPr>
      <w:r>
        <w:rPr>
          <w:rFonts w:hint="eastAsia"/>
        </w:rPr>
        <w:t>实际操作竞赛主要内容包括：云网络架构设计与搭建，云应用架构部署与运维，业务系统上云迁移以及云上应用编程等操作技能，详见表1。</w:t>
      </w:r>
    </w:p>
    <w:p>
      <w:pPr>
        <w:spacing w:line="360" w:lineRule="auto"/>
        <w:ind w:firstLine="480" w:firstLineChars="200"/>
        <w:jc w:val="center"/>
        <w:outlineLvl w:val="2"/>
        <w:rPr>
          <w:rFonts w:hint="eastAsia" w:ascii="Calibri" w:hAnsi="Calibri" w:eastAsia="华文细黑"/>
          <w:b/>
          <w:sz w:val="24"/>
          <w:lang w:val="zh-CN"/>
        </w:rPr>
      </w:pPr>
      <w:r>
        <w:rPr>
          <w:rFonts w:hint="eastAsia" w:ascii="Calibri" w:hAnsi="Calibri" w:eastAsia="华文细黑"/>
          <w:b/>
          <w:sz w:val="24"/>
          <w:lang w:val="zh-CN"/>
        </w:rPr>
        <w:t>表1  试题范围、比例及类型</w:t>
      </w:r>
    </w:p>
    <w:tbl>
      <w:tblPr>
        <w:tblStyle w:val="15"/>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33"/>
        <w:gridCol w:w="5440"/>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序号</w:t>
            </w:r>
          </w:p>
        </w:tc>
        <w:tc>
          <w:tcPr>
            <w:tcW w:w="1233"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考核范围</w:t>
            </w:r>
          </w:p>
        </w:tc>
        <w:tc>
          <w:tcPr>
            <w:tcW w:w="5440"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考核内容</w:t>
            </w:r>
          </w:p>
        </w:tc>
        <w:tc>
          <w:tcPr>
            <w:tcW w:w="1218"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pStyle w:val="3"/>
              <w:snapToGrid w:val="0"/>
              <w:spacing w:line="480" w:lineRule="exact"/>
              <w:jc w:val="center"/>
              <w:rPr>
                <w:rFonts w:ascii="宋体" w:hAnsi="宋体" w:eastAsia="宋体" w:cs="宋体"/>
                <w:szCs w:val="21"/>
              </w:rPr>
            </w:pPr>
            <w:r>
              <w:rPr>
                <w:rFonts w:hint="eastAsia" w:ascii="宋体" w:hAnsi="宋体" w:eastAsia="宋体" w:cs="宋体"/>
                <w:szCs w:val="21"/>
              </w:rPr>
              <w:t>1</w:t>
            </w:r>
          </w:p>
        </w:tc>
        <w:tc>
          <w:tcPr>
            <w:tcW w:w="1233"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云网络架构设计与搭建</w:t>
            </w:r>
          </w:p>
        </w:tc>
        <w:tc>
          <w:tcPr>
            <w:tcW w:w="5440"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1.能根据工作任务书要求，熟练并正确的完成云网络规划配置和交换机的网段规划配置；</w:t>
            </w:r>
          </w:p>
          <w:p>
            <w:pPr>
              <w:pStyle w:val="3"/>
              <w:jc w:val="both"/>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.能根据工作任务书要求，灵活运用弹性公网IP、NAT网关、VPN网关、云企业网、高速通道、共享带宽包等云资源构建高性能、配置灵活的企业级云网络；</w:t>
            </w:r>
          </w:p>
          <w:p>
            <w:pPr>
              <w:pStyle w:val="3"/>
              <w:jc w:val="both"/>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.能根据工作任务书要求，完成对网络的联通性调试，并熟练针对网络故障进行诊断、排除。</w:t>
            </w:r>
          </w:p>
        </w:tc>
        <w:tc>
          <w:tcPr>
            <w:tcW w:w="1218" w:type="dxa"/>
            <w:tcBorders>
              <w:top w:val="single" w:color="auto" w:sz="4" w:space="0"/>
              <w:left w:val="single" w:color="auto" w:sz="4" w:space="0"/>
              <w:bottom w:val="single" w:color="auto" w:sz="4" w:space="0"/>
              <w:right w:val="single" w:color="auto" w:sz="4" w:space="0"/>
            </w:tcBorders>
            <w:vAlign w:val="center"/>
          </w:tcPr>
          <w:p>
            <w:pPr>
              <w:pStyle w:val="3"/>
              <w:jc w:val="center"/>
              <w:rPr>
                <w:rFonts w:hint="default" w:ascii="宋体" w:hAnsi="宋体" w:eastAsia="宋体" w:cs="宋体"/>
                <w:szCs w:val="21"/>
                <w:lang w:val="en-US" w:eastAsia="zh-CN"/>
              </w:rPr>
            </w:pPr>
            <w:r>
              <w:rPr>
                <w:rFonts w:hint="eastAsia" w:ascii="宋体" w:hAnsi="宋体" w:eastAsia="宋体" w:cs="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pStyle w:val="3"/>
              <w:snapToGrid w:val="0"/>
              <w:spacing w:line="480" w:lineRule="exact"/>
              <w:jc w:val="center"/>
              <w:rPr>
                <w:rFonts w:ascii="宋体" w:hAnsi="宋体" w:eastAsia="宋体" w:cs="宋体"/>
                <w:szCs w:val="21"/>
              </w:rPr>
            </w:pPr>
            <w:r>
              <w:rPr>
                <w:rFonts w:hint="eastAsia" w:ascii="宋体" w:hAnsi="宋体" w:eastAsia="宋体" w:cs="宋体"/>
                <w:szCs w:val="21"/>
              </w:rPr>
              <w:t>2</w:t>
            </w:r>
          </w:p>
        </w:tc>
        <w:tc>
          <w:tcPr>
            <w:tcW w:w="1233"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云应用架构部署与运维</w:t>
            </w:r>
          </w:p>
        </w:tc>
        <w:tc>
          <w:tcPr>
            <w:tcW w:w="5440"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1.能根据工作任务书要求，合理规划云服务器数量、规格并完成创建、配置和优化等操作；</w:t>
            </w:r>
          </w:p>
          <w:p>
            <w:pPr>
              <w:pStyle w:val="3"/>
              <w:jc w:val="both"/>
              <w:rPr>
                <w:rFonts w:hint="eastAsia" w:ascii="宋体" w:hAnsi="宋体" w:eastAsia="宋体" w:cs="宋体"/>
                <w:szCs w:val="21"/>
              </w:rPr>
            </w:pPr>
            <w:r>
              <w:rPr>
                <w:rFonts w:hint="eastAsia" w:ascii="宋体" w:hAnsi="宋体" w:eastAsia="宋体" w:cs="宋体"/>
                <w:szCs w:val="21"/>
              </w:rPr>
              <w:t>2.能根据工作任务书要求，通过云弹性伸缩和云负载均衡等服务构建高性能、高弹性的云基础设施架构；</w:t>
            </w:r>
          </w:p>
          <w:p>
            <w:pPr>
              <w:pStyle w:val="3"/>
              <w:jc w:val="both"/>
              <w:rPr>
                <w:rFonts w:hint="eastAsia" w:ascii="宋体" w:hAnsi="宋体" w:eastAsia="宋体" w:cs="宋体"/>
                <w:szCs w:val="21"/>
              </w:rPr>
            </w:pPr>
            <w:r>
              <w:rPr>
                <w:rFonts w:hint="eastAsia" w:ascii="宋体" w:hAnsi="宋体" w:eastAsia="宋体" w:cs="宋体"/>
                <w:szCs w:val="21"/>
              </w:rPr>
              <w:t>3.能根据工作任务书要求，完成云容器、云容器集群的创建和配置；</w:t>
            </w:r>
          </w:p>
          <w:p>
            <w:pPr>
              <w:pStyle w:val="3"/>
              <w:jc w:val="both"/>
              <w:rPr>
                <w:rFonts w:hint="eastAsia" w:ascii="宋体" w:hAnsi="宋体" w:eastAsia="宋体" w:cs="宋体"/>
                <w:szCs w:val="21"/>
              </w:rPr>
            </w:pPr>
            <w:r>
              <w:rPr>
                <w:rFonts w:hint="eastAsia" w:ascii="宋体" w:hAnsi="宋体" w:eastAsia="宋体" w:cs="宋体"/>
                <w:szCs w:val="21"/>
              </w:rPr>
              <w:t>4.能根据工作任务书要求，完成块存储的扩展配置以及对象存储、文件存储等典型云存储的创建和配置；</w:t>
            </w:r>
          </w:p>
          <w:p>
            <w:pPr>
              <w:pStyle w:val="3"/>
              <w:jc w:val="both"/>
              <w:rPr>
                <w:rFonts w:hint="eastAsia" w:ascii="宋体" w:hAnsi="宋体" w:eastAsia="宋体" w:cs="宋体"/>
                <w:szCs w:val="21"/>
              </w:rPr>
            </w:pPr>
            <w:r>
              <w:rPr>
                <w:rFonts w:hint="eastAsia" w:ascii="宋体" w:hAnsi="宋体" w:eastAsia="宋体" w:cs="宋体"/>
                <w:szCs w:val="21"/>
              </w:rPr>
              <w:t>5.能根据工作任务书要求，通过自建或购买云服务方式完成关系型数据库安装（创建）、配置和管理；</w:t>
            </w:r>
          </w:p>
          <w:p>
            <w:pPr>
              <w:pStyle w:val="3"/>
              <w:jc w:val="both"/>
              <w:rPr>
                <w:rFonts w:hint="eastAsia" w:ascii="宋体" w:hAnsi="宋体" w:eastAsia="宋体" w:cs="宋体"/>
                <w:szCs w:val="21"/>
              </w:rPr>
            </w:pPr>
            <w:r>
              <w:rPr>
                <w:rFonts w:hint="eastAsia" w:ascii="宋体" w:hAnsi="宋体" w:eastAsia="宋体" w:cs="宋体"/>
                <w:szCs w:val="21"/>
              </w:rPr>
              <w:t>6.能根据工作任务书要求，通过自建或购买云服务方式完成非关系型数据库的安装（创建）、配置和管理；</w:t>
            </w:r>
          </w:p>
          <w:p>
            <w:pPr>
              <w:pStyle w:val="3"/>
              <w:jc w:val="both"/>
              <w:rPr>
                <w:rFonts w:hint="eastAsia" w:ascii="宋体" w:hAnsi="宋体" w:eastAsia="宋体" w:cs="宋体"/>
                <w:szCs w:val="21"/>
              </w:rPr>
            </w:pPr>
            <w:r>
              <w:rPr>
                <w:rFonts w:hint="eastAsia" w:ascii="宋体" w:hAnsi="宋体" w:eastAsia="宋体" w:cs="宋体"/>
                <w:szCs w:val="21"/>
              </w:rPr>
              <w:t>7.能根据工作任务书要求，部署指定应用，并通过压力测试工具验证服务可用性以及云服务器弹性伸缩或容器集群弹性配置；</w:t>
            </w:r>
          </w:p>
        </w:tc>
        <w:tc>
          <w:tcPr>
            <w:tcW w:w="1218"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宋体" w:hAnsi="宋体" w:eastAsia="宋体" w:cs="宋体"/>
                <w:szCs w:val="21"/>
                <w:lang w:eastAsia="zh-CN"/>
              </w:rPr>
            </w:pPr>
            <w:r>
              <w:rPr>
                <w:rFonts w:hint="eastAsia" w:ascii="宋体" w:hAnsi="宋体" w:eastAsia="宋体" w:cs="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pStyle w:val="3"/>
              <w:snapToGrid w:val="0"/>
              <w:spacing w:line="480" w:lineRule="exact"/>
              <w:jc w:val="center"/>
              <w:rPr>
                <w:rFonts w:ascii="宋体" w:hAnsi="宋体" w:eastAsia="宋体" w:cs="宋体"/>
                <w:szCs w:val="21"/>
              </w:rPr>
            </w:pPr>
            <w:r>
              <w:rPr>
                <w:rFonts w:hint="eastAsia" w:ascii="宋体" w:hAnsi="宋体" w:eastAsia="宋体" w:cs="宋体"/>
                <w:szCs w:val="21"/>
              </w:rPr>
              <w:t>3</w:t>
            </w:r>
          </w:p>
        </w:tc>
        <w:tc>
          <w:tcPr>
            <w:tcW w:w="1233"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业务系统上云迁移</w:t>
            </w:r>
          </w:p>
        </w:tc>
        <w:tc>
          <w:tcPr>
            <w:tcW w:w="5440"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1.能根据工作任务书要求，申请并配置目标基础结构，包括计算、存储、网络等资源；</w:t>
            </w:r>
          </w:p>
          <w:p>
            <w:pPr>
              <w:pStyle w:val="3"/>
              <w:jc w:val="both"/>
              <w:rPr>
                <w:rFonts w:hint="eastAsia" w:ascii="宋体" w:hAnsi="宋体" w:eastAsia="宋体" w:cs="宋体"/>
                <w:szCs w:val="21"/>
              </w:rPr>
            </w:pPr>
            <w:r>
              <w:rPr>
                <w:rFonts w:hint="eastAsia" w:ascii="宋体" w:hAnsi="宋体" w:eastAsia="宋体" w:cs="宋体"/>
                <w:szCs w:val="21"/>
              </w:rPr>
              <w:t>2.能根据工作任务书要求，通过镜像迁移、应用程序打包等方式完成业务应用迁移；</w:t>
            </w:r>
          </w:p>
          <w:p>
            <w:pPr>
              <w:pStyle w:val="3"/>
              <w:jc w:val="both"/>
              <w:rPr>
                <w:rFonts w:hint="eastAsia" w:ascii="宋体" w:hAnsi="宋体" w:eastAsia="宋体" w:cs="宋体"/>
                <w:szCs w:val="21"/>
              </w:rPr>
            </w:pPr>
            <w:r>
              <w:rPr>
                <w:rFonts w:hint="eastAsia" w:ascii="宋体" w:hAnsi="宋体" w:eastAsia="宋体" w:cs="宋体"/>
                <w:szCs w:val="21"/>
              </w:rPr>
              <w:t>3.能根据工作任务书要求，完成结构化数据迁移和非结构化数据迁移；</w:t>
            </w:r>
          </w:p>
          <w:p>
            <w:pPr>
              <w:pStyle w:val="3"/>
              <w:jc w:val="both"/>
              <w:rPr>
                <w:rFonts w:hint="eastAsia" w:ascii="宋体" w:hAnsi="宋体" w:eastAsia="宋体" w:cs="宋体"/>
                <w:szCs w:val="21"/>
              </w:rPr>
            </w:pPr>
            <w:r>
              <w:rPr>
                <w:rFonts w:hint="eastAsia" w:ascii="宋体" w:hAnsi="宋体" w:eastAsia="宋体" w:cs="宋体"/>
                <w:szCs w:val="21"/>
              </w:rPr>
              <w:t>4.能根据工作任务书要求，完成业务系统集成和安全访问策略的配置；</w:t>
            </w:r>
          </w:p>
          <w:p>
            <w:pPr>
              <w:pStyle w:val="3"/>
              <w:jc w:val="both"/>
              <w:rPr>
                <w:rFonts w:hint="eastAsia" w:ascii="宋体" w:hAnsi="宋体" w:eastAsia="宋体" w:cs="宋体"/>
                <w:szCs w:val="21"/>
              </w:rPr>
            </w:pPr>
            <w:r>
              <w:rPr>
                <w:rFonts w:hint="eastAsia" w:ascii="宋体" w:hAnsi="宋体" w:eastAsia="宋体" w:cs="宋体"/>
                <w:szCs w:val="21"/>
              </w:rPr>
              <w:t>5.能根据工作任务书要求，完成关键指标监控、应用容灾备份策略的配置。</w:t>
            </w:r>
          </w:p>
        </w:tc>
        <w:tc>
          <w:tcPr>
            <w:tcW w:w="1218" w:type="dxa"/>
            <w:tcBorders>
              <w:top w:val="single" w:color="auto" w:sz="4" w:space="0"/>
              <w:left w:val="single" w:color="auto" w:sz="4" w:space="0"/>
              <w:bottom w:val="single" w:color="auto" w:sz="4" w:space="0"/>
              <w:right w:val="single" w:color="auto" w:sz="4" w:space="0"/>
            </w:tcBorders>
            <w:vAlign w:val="center"/>
          </w:tcPr>
          <w:p>
            <w:pPr>
              <w:pStyle w:val="3"/>
              <w:jc w:val="center"/>
              <w:rPr>
                <w:rFonts w:hint="default" w:ascii="宋体" w:hAnsi="宋体" w:eastAsia="宋体" w:cs="宋体"/>
                <w:szCs w:val="21"/>
                <w:lang w:val="en-US" w:eastAsia="zh-CN"/>
              </w:rPr>
            </w:pPr>
            <w:r>
              <w:rPr>
                <w:rFonts w:hint="eastAsia" w:ascii="宋体" w:hAnsi="宋体" w:eastAsia="宋体" w:cs="宋体"/>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pStyle w:val="3"/>
              <w:snapToGrid w:val="0"/>
              <w:spacing w:line="480" w:lineRule="exact"/>
              <w:jc w:val="center"/>
              <w:rPr>
                <w:rFonts w:ascii="宋体" w:hAnsi="宋体" w:eastAsia="宋体" w:cs="宋体"/>
                <w:szCs w:val="21"/>
              </w:rPr>
            </w:pPr>
            <w:r>
              <w:rPr>
                <w:rFonts w:hint="eastAsia" w:ascii="宋体" w:hAnsi="宋体" w:eastAsia="宋体" w:cs="宋体"/>
                <w:szCs w:val="21"/>
              </w:rPr>
              <w:t>4</w:t>
            </w:r>
          </w:p>
        </w:tc>
        <w:tc>
          <w:tcPr>
            <w:tcW w:w="1233"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云上应用编程</w:t>
            </w:r>
          </w:p>
        </w:tc>
        <w:tc>
          <w:tcPr>
            <w:tcW w:w="5440" w:type="dxa"/>
            <w:tcBorders>
              <w:top w:val="single" w:color="auto" w:sz="4" w:space="0"/>
              <w:left w:val="single" w:color="auto" w:sz="4" w:space="0"/>
              <w:bottom w:val="single" w:color="auto" w:sz="4" w:space="0"/>
              <w:right w:val="single" w:color="auto" w:sz="4" w:space="0"/>
            </w:tcBorders>
            <w:vAlign w:val="center"/>
          </w:tcPr>
          <w:p>
            <w:pPr>
              <w:pStyle w:val="3"/>
              <w:jc w:val="both"/>
              <w:rPr>
                <w:rFonts w:hint="eastAsia" w:ascii="宋体" w:hAnsi="宋体" w:eastAsia="宋体" w:cs="宋体"/>
                <w:szCs w:val="21"/>
              </w:rPr>
            </w:pPr>
            <w:r>
              <w:rPr>
                <w:rFonts w:hint="eastAsia" w:ascii="宋体" w:hAnsi="宋体" w:eastAsia="宋体" w:cs="宋体"/>
                <w:szCs w:val="21"/>
              </w:rPr>
              <w:t>1.阅读并理解软件设计任务书，使用Python或者Java语言编写应用代码以实现任务设计书中的功能；</w:t>
            </w:r>
          </w:p>
          <w:p>
            <w:pPr>
              <w:pStyle w:val="3"/>
              <w:jc w:val="both"/>
              <w:rPr>
                <w:rFonts w:hint="eastAsia" w:ascii="宋体" w:hAnsi="宋体" w:eastAsia="宋体" w:cs="宋体"/>
                <w:szCs w:val="21"/>
              </w:rPr>
            </w:pPr>
            <w:r>
              <w:rPr>
                <w:rFonts w:hint="eastAsia" w:ascii="宋体" w:hAnsi="宋体" w:eastAsia="宋体" w:cs="宋体"/>
                <w:szCs w:val="21"/>
              </w:rPr>
              <w:t>2.能按照软件设计任务书，完成测试用例编写，并测试主要功能；</w:t>
            </w:r>
          </w:p>
          <w:p>
            <w:pPr>
              <w:pStyle w:val="3"/>
              <w:jc w:val="both"/>
              <w:rPr>
                <w:rFonts w:hint="eastAsia" w:ascii="宋体" w:hAnsi="宋体" w:eastAsia="宋体" w:cs="宋体"/>
                <w:szCs w:val="21"/>
              </w:rPr>
            </w:pPr>
            <w:r>
              <w:rPr>
                <w:rFonts w:hint="eastAsia" w:ascii="宋体" w:hAnsi="宋体" w:eastAsia="宋体" w:cs="宋体"/>
                <w:szCs w:val="21"/>
              </w:rPr>
              <w:t>3.能按照软件设计任务书，完成应用部署、发布及测试。</w:t>
            </w:r>
          </w:p>
        </w:tc>
        <w:tc>
          <w:tcPr>
            <w:tcW w:w="1218"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宋体" w:hAnsi="宋体" w:eastAsia="宋体" w:cs="宋体"/>
                <w:szCs w:val="21"/>
                <w:lang w:eastAsia="zh-CN"/>
              </w:rPr>
            </w:pPr>
            <w:r>
              <w:rPr>
                <w:rFonts w:hint="eastAsia" w:ascii="宋体" w:hAnsi="宋体" w:eastAsia="宋体" w:cs="宋体"/>
                <w:szCs w:val="21"/>
              </w:rPr>
              <w:t>35</w:t>
            </w:r>
          </w:p>
        </w:tc>
      </w:tr>
    </w:tbl>
    <w:p>
      <w:pPr>
        <w:pStyle w:val="5"/>
        <w:spacing w:before="156"/>
        <w:ind w:firstLine="602"/>
        <w:rPr>
          <w:rFonts w:ascii="黑体" w:hAnsi="黑体" w:cs="黑体"/>
          <w:b/>
          <w:bCs/>
          <w:szCs w:val="30"/>
        </w:rPr>
      </w:pPr>
      <w:r>
        <w:rPr>
          <w:rFonts w:hint="eastAsia" w:ascii="黑体" w:hAnsi="黑体" w:cs="黑体"/>
          <w:b/>
          <w:bCs/>
          <w:szCs w:val="30"/>
        </w:rPr>
        <w:t>五、评分标准</w:t>
      </w:r>
    </w:p>
    <w:p>
      <w:pPr>
        <w:ind w:firstLine="480"/>
        <w:rPr>
          <w:b/>
        </w:rPr>
      </w:pPr>
      <w:r>
        <w:rPr>
          <w:rFonts w:hint="eastAsia"/>
          <w:b/>
        </w:rPr>
        <w:t>（一）制订原则</w:t>
      </w:r>
    </w:p>
    <w:p>
      <w:pPr>
        <w:ind w:firstLine="480"/>
      </w:pPr>
      <w:r>
        <w:rPr>
          <w:rFonts w:hint="eastAsia"/>
        </w:rPr>
        <w:t>依据云计算平台运维与开发的相关标准、规范要求进行评分，全面评价参赛选手的职业能力，本着“科学严谨、公正公平、可操作性强”的原则制定评分标准。</w:t>
      </w:r>
    </w:p>
    <w:p>
      <w:pPr>
        <w:ind w:firstLine="480"/>
        <w:rPr>
          <w:b/>
        </w:rPr>
      </w:pPr>
      <w:r>
        <w:rPr>
          <w:rFonts w:hint="eastAsia"/>
          <w:b/>
        </w:rPr>
        <w:t>（二）评分细则</w:t>
      </w:r>
    </w:p>
    <w:p>
      <w:pPr>
        <w:ind w:firstLine="480"/>
      </w:pPr>
      <w:r>
        <w:rPr>
          <w:rFonts w:hint="eastAsia"/>
        </w:rPr>
        <w:t>评分指标及</w:t>
      </w:r>
      <w:r>
        <w:rPr>
          <w:rFonts w:hint="eastAsia"/>
          <w:lang w:val="zh-CN"/>
        </w:rPr>
        <w:t>比例</w:t>
      </w:r>
      <w:r>
        <w:rPr>
          <w:rFonts w:hint="eastAsia"/>
        </w:rPr>
        <w:t>见表2。</w:t>
      </w:r>
    </w:p>
    <w:p>
      <w:pPr>
        <w:pStyle w:val="3"/>
        <w:jc w:val="center"/>
        <w:rPr>
          <w:rFonts w:ascii="黑体" w:hAnsi="黑体" w:eastAsia="黑体" w:cs="黑体"/>
          <w:sz w:val="24"/>
          <w:lang w:val="zh-CN"/>
        </w:rPr>
      </w:pPr>
      <w:r>
        <w:rPr>
          <w:rFonts w:hint="eastAsia" w:ascii="Calibri" w:hAnsi="Calibri" w:eastAsia="华文细黑" w:cs="Times New Roman"/>
          <w:b/>
          <w:kern w:val="2"/>
          <w:sz w:val="24"/>
          <w:szCs w:val="24"/>
          <w:lang w:val="zh-CN" w:eastAsia="zh-CN" w:bidi="ar-SA"/>
        </w:rPr>
        <w:t>表2  评分指标及比例</w:t>
      </w:r>
    </w:p>
    <w:tbl>
      <w:tblPr>
        <w:tblStyle w:val="15"/>
        <w:tblW w:w="8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065"/>
        <w:gridCol w:w="4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一级指标</w:t>
            </w:r>
          </w:p>
        </w:tc>
        <w:tc>
          <w:tcPr>
            <w:tcW w:w="106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比例（%）</w:t>
            </w:r>
          </w:p>
        </w:tc>
        <w:tc>
          <w:tcPr>
            <w:tcW w:w="4920"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二级指标</w:t>
            </w:r>
          </w:p>
        </w:tc>
        <w:tc>
          <w:tcPr>
            <w:tcW w:w="1157"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ascii="华文细黑" w:hAnsi="华文细黑" w:eastAsia="华文细黑"/>
                <w:b/>
                <w:sz w:val="21"/>
                <w:szCs w:val="21"/>
                <w:lang w:eastAsia="zh-Hans"/>
              </w:rPr>
            </w:pPr>
            <w:r>
              <w:rPr>
                <w:rFonts w:hint="eastAsia" w:ascii="华文细黑" w:hAnsi="华文细黑" w:eastAsia="华文细黑"/>
                <w:b/>
                <w:sz w:val="21"/>
                <w:szCs w:val="21"/>
                <w:lang w:eastAsia="zh-Hans"/>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r>
              <w:rPr>
                <w:rFonts w:hint="eastAsia" w:ascii="宋体" w:hAnsi="宋体" w:eastAsia="宋体" w:cs="宋体"/>
                <w:szCs w:val="21"/>
              </w:rPr>
              <w:t>技术要求</w:t>
            </w:r>
          </w:p>
        </w:tc>
        <w:tc>
          <w:tcPr>
            <w:tcW w:w="1065" w:type="dxa"/>
            <w:vMerge w:val="restart"/>
            <w:tcBorders>
              <w:top w:val="single" w:color="auto" w:sz="4" w:space="0"/>
              <w:left w:val="single" w:color="auto" w:sz="4" w:space="0"/>
              <w:bottom w:val="single" w:color="auto" w:sz="4" w:space="0"/>
              <w:right w:val="single" w:color="auto" w:sz="4" w:space="0"/>
            </w:tcBorders>
            <w:vAlign w:val="center"/>
          </w:tcPr>
          <w:p>
            <w:pPr>
              <w:pStyle w:val="3"/>
              <w:jc w:val="center"/>
              <w:rPr>
                <w:rFonts w:hint="default" w:ascii="宋体" w:hAnsi="宋体" w:eastAsia="宋体" w:cs="宋体"/>
                <w:szCs w:val="21"/>
                <w:lang w:val="en-US" w:eastAsia="zh-CN"/>
              </w:rPr>
            </w:pPr>
            <w:r>
              <w:rPr>
                <w:rFonts w:hint="eastAsia" w:ascii="宋体" w:hAnsi="宋体" w:eastAsia="宋体" w:cs="宋体"/>
                <w:szCs w:val="21"/>
                <w:lang w:val="en-US" w:eastAsia="zh-CN"/>
              </w:rPr>
              <w:t>100</w:t>
            </w:r>
          </w:p>
        </w:tc>
        <w:tc>
          <w:tcPr>
            <w:tcW w:w="4920" w:type="dxa"/>
            <w:tcBorders>
              <w:top w:val="single" w:color="auto" w:sz="4" w:space="0"/>
              <w:left w:val="single" w:color="auto" w:sz="4" w:space="0"/>
              <w:bottom w:val="single" w:color="auto" w:sz="4" w:space="0"/>
              <w:right w:val="single" w:color="auto" w:sz="4" w:space="0"/>
            </w:tcBorders>
            <w:vAlign w:val="top"/>
          </w:tcPr>
          <w:p>
            <w:pPr>
              <w:pStyle w:val="3"/>
              <w:jc w:val="left"/>
              <w:rPr>
                <w:rFonts w:hint="eastAsia" w:ascii="宋体" w:hAnsi="宋体" w:eastAsia="宋体" w:cs="宋体"/>
                <w:szCs w:val="21"/>
                <w:lang w:val="en-US" w:eastAsia="zh-CN"/>
              </w:rPr>
            </w:pPr>
            <w:r>
              <w:rPr>
                <w:rFonts w:hint="eastAsia" w:ascii="宋体" w:hAnsi="宋体" w:eastAsia="宋体" w:cs="宋体"/>
                <w:szCs w:val="21"/>
              </w:rPr>
              <w:t>1.正确完成地域、可用区等网络规划配置和交换机的网段规划配置</w:t>
            </w:r>
          </w:p>
        </w:tc>
        <w:tc>
          <w:tcPr>
            <w:tcW w:w="1157" w:type="dxa"/>
            <w:tcBorders>
              <w:top w:val="single" w:color="auto" w:sz="4" w:space="0"/>
              <w:left w:val="single" w:color="auto" w:sz="4" w:space="0"/>
              <w:bottom w:val="single" w:color="auto" w:sz="4" w:space="0"/>
              <w:right w:val="single" w:color="auto" w:sz="4" w:space="0"/>
            </w:tcBorders>
            <w:vAlign w:val="top"/>
          </w:tcPr>
          <w:p>
            <w:pPr>
              <w:pStyle w:val="3"/>
              <w:jc w:val="center"/>
              <w:rPr>
                <w:rFonts w:hint="eastAsia" w:ascii="宋体" w:hAnsi="宋体" w:eastAsia="宋体" w:cs="宋体"/>
                <w:szCs w:val="21"/>
                <w:lang w:val="en-US" w:eastAsia="zh-CN"/>
              </w:rPr>
            </w:pPr>
            <w:r>
              <w:rPr>
                <w:rFonts w:hint="eastAsia" w:ascii="宋体" w:hAnsi="宋体" w:eastAsia="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4920" w:type="dxa"/>
            <w:tcBorders>
              <w:top w:val="single" w:color="auto" w:sz="4" w:space="0"/>
              <w:left w:val="single" w:color="auto" w:sz="4" w:space="0"/>
              <w:bottom w:val="single" w:color="auto" w:sz="4" w:space="0"/>
              <w:right w:val="single" w:color="auto" w:sz="4" w:space="0"/>
            </w:tcBorders>
            <w:vAlign w:val="top"/>
          </w:tcPr>
          <w:p>
            <w:pPr>
              <w:pStyle w:val="3"/>
              <w:jc w:val="left"/>
              <w:rPr>
                <w:rFonts w:hint="eastAsia" w:ascii="宋体" w:hAnsi="宋体" w:eastAsia="宋体" w:cs="宋体"/>
                <w:szCs w:val="21"/>
                <w:lang w:val="en-US" w:eastAsia="zh-CN"/>
              </w:rPr>
            </w:pPr>
            <w:r>
              <w:rPr>
                <w:rFonts w:hint="eastAsia" w:ascii="宋体" w:hAnsi="宋体" w:eastAsia="宋体" w:cs="宋体"/>
                <w:szCs w:val="21"/>
              </w:rPr>
              <w:t>2.正确完成云网络资源和基础计算资源的创建和配置，并完成联通性调试</w:t>
            </w:r>
          </w:p>
        </w:tc>
        <w:tc>
          <w:tcPr>
            <w:tcW w:w="1157" w:type="dxa"/>
            <w:tcBorders>
              <w:top w:val="single" w:color="auto" w:sz="4" w:space="0"/>
              <w:left w:val="single" w:color="auto" w:sz="4" w:space="0"/>
              <w:bottom w:val="single" w:color="auto" w:sz="4" w:space="0"/>
              <w:right w:val="single" w:color="auto" w:sz="4" w:space="0"/>
            </w:tcBorders>
            <w:vAlign w:val="top"/>
          </w:tcPr>
          <w:p>
            <w:pPr>
              <w:pStyle w:val="3"/>
              <w:jc w:val="center"/>
              <w:rPr>
                <w:rFonts w:hint="eastAsia" w:ascii="宋体" w:hAnsi="宋体" w:eastAsia="宋体" w:cs="宋体"/>
                <w:szCs w:val="21"/>
                <w:lang w:val="en-US" w:eastAsia="zh-CN"/>
              </w:rPr>
            </w:pPr>
            <w:r>
              <w:rPr>
                <w:rFonts w:hint="eastAsia" w:ascii="宋体" w:hAnsi="宋体" w:eastAsia="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4920" w:type="dxa"/>
            <w:tcBorders>
              <w:top w:val="single" w:color="auto" w:sz="4" w:space="0"/>
              <w:left w:val="single" w:color="auto" w:sz="4" w:space="0"/>
              <w:bottom w:val="single" w:color="auto" w:sz="4" w:space="0"/>
              <w:right w:val="single" w:color="auto" w:sz="4" w:space="0"/>
            </w:tcBorders>
            <w:vAlign w:val="top"/>
          </w:tcPr>
          <w:p>
            <w:pPr>
              <w:pStyle w:val="3"/>
              <w:jc w:val="left"/>
              <w:rPr>
                <w:rFonts w:hint="eastAsia" w:ascii="宋体" w:hAnsi="宋体" w:eastAsia="宋体" w:cs="宋体"/>
                <w:szCs w:val="21"/>
                <w:lang w:val="en-US" w:eastAsia="zh-CN"/>
              </w:rPr>
            </w:pPr>
            <w:r>
              <w:rPr>
                <w:rFonts w:hint="eastAsia" w:ascii="宋体" w:hAnsi="宋体" w:eastAsia="宋体" w:cs="宋体"/>
                <w:szCs w:val="21"/>
              </w:rPr>
              <w:t>3.正确完成云基础计算（云服务器、云容器、云存储）以及云上数据库（关系型数据和非关系型数据库）资源的创建、配置和管理</w:t>
            </w:r>
          </w:p>
        </w:tc>
        <w:tc>
          <w:tcPr>
            <w:tcW w:w="1157" w:type="dxa"/>
            <w:tcBorders>
              <w:top w:val="single" w:color="auto" w:sz="4" w:space="0"/>
              <w:left w:val="single" w:color="auto" w:sz="4" w:space="0"/>
              <w:bottom w:val="single" w:color="auto" w:sz="4" w:space="0"/>
              <w:right w:val="single" w:color="auto" w:sz="4" w:space="0"/>
            </w:tcBorders>
            <w:vAlign w:val="top"/>
          </w:tcPr>
          <w:p>
            <w:pPr>
              <w:pStyle w:val="3"/>
              <w:jc w:val="center"/>
              <w:rPr>
                <w:rFonts w:hint="eastAsia" w:ascii="宋体" w:hAnsi="宋体" w:eastAsia="宋体" w:cs="宋体"/>
                <w:szCs w:val="21"/>
                <w:lang w:val="en-US" w:eastAsia="zh-CN"/>
              </w:rPr>
            </w:pPr>
            <w:r>
              <w:rPr>
                <w:rFonts w:hint="eastAsia" w:ascii="宋体" w:hAnsi="宋体" w:eastAsia="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4920" w:type="dxa"/>
            <w:tcBorders>
              <w:top w:val="single" w:color="auto" w:sz="4" w:space="0"/>
              <w:left w:val="single" w:color="auto" w:sz="4" w:space="0"/>
              <w:bottom w:val="single" w:color="auto" w:sz="4" w:space="0"/>
              <w:right w:val="single" w:color="auto" w:sz="4" w:space="0"/>
            </w:tcBorders>
            <w:vAlign w:val="top"/>
          </w:tcPr>
          <w:p>
            <w:pPr>
              <w:pStyle w:val="3"/>
              <w:jc w:val="left"/>
              <w:rPr>
                <w:rFonts w:hint="eastAsia" w:ascii="宋体" w:hAnsi="宋体" w:eastAsia="宋体" w:cs="宋体"/>
                <w:szCs w:val="21"/>
                <w:lang w:val="en-US" w:eastAsia="zh-CN"/>
              </w:rPr>
            </w:pPr>
            <w:r>
              <w:rPr>
                <w:rFonts w:hint="eastAsia" w:ascii="宋体" w:hAnsi="宋体" w:eastAsia="宋体" w:cs="宋体"/>
                <w:szCs w:val="21"/>
              </w:rPr>
              <w:t>4.正确完成弹性伸缩和负载均衡的创建、配置和管理，并完成资源伸缩压测</w:t>
            </w:r>
          </w:p>
        </w:tc>
        <w:tc>
          <w:tcPr>
            <w:tcW w:w="1157" w:type="dxa"/>
            <w:tcBorders>
              <w:top w:val="single" w:color="auto" w:sz="4" w:space="0"/>
              <w:left w:val="single" w:color="auto" w:sz="4" w:space="0"/>
              <w:bottom w:val="single" w:color="auto" w:sz="4" w:space="0"/>
              <w:right w:val="single" w:color="auto" w:sz="4" w:space="0"/>
            </w:tcBorders>
            <w:vAlign w:val="top"/>
          </w:tcPr>
          <w:p>
            <w:pPr>
              <w:pStyle w:val="3"/>
              <w:jc w:val="center"/>
              <w:rPr>
                <w:rFonts w:hint="default" w:ascii="宋体" w:hAnsi="宋体" w:eastAsia="宋体" w:cs="宋体"/>
                <w:szCs w:val="21"/>
                <w:lang w:val="en-US" w:eastAsia="zh-CN"/>
              </w:rPr>
            </w:pPr>
            <w:r>
              <w:rPr>
                <w:rFonts w:hint="eastAsia" w:ascii="宋体" w:hAnsi="宋体" w:eastAsia="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4920" w:type="dxa"/>
            <w:tcBorders>
              <w:top w:val="single" w:color="auto" w:sz="4" w:space="0"/>
              <w:left w:val="single" w:color="auto" w:sz="4" w:space="0"/>
              <w:bottom w:val="single" w:color="auto" w:sz="4" w:space="0"/>
              <w:right w:val="single" w:color="auto" w:sz="4" w:space="0"/>
            </w:tcBorders>
            <w:vAlign w:val="top"/>
          </w:tcPr>
          <w:p>
            <w:pPr>
              <w:pStyle w:val="3"/>
              <w:jc w:val="left"/>
              <w:rPr>
                <w:rFonts w:hint="eastAsia" w:ascii="宋体" w:hAnsi="宋体" w:eastAsia="宋体" w:cs="宋体"/>
                <w:szCs w:val="21"/>
                <w:lang w:val="en-US" w:eastAsia="zh-CN"/>
              </w:rPr>
            </w:pPr>
            <w:r>
              <w:rPr>
                <w:rFonts w:hint="eastAsia" w:ascii="宋体" w:hAnsi="宋体" w:eastAsia="宋体" w:cs="宋体"/>
                <w:szCs w:val="21"/>
              </w:rPr>
              <w:t>5.正确完成业务系统上云的部署、配置、管理和安全加固</w:t>
            </w:r>
          </w:p>
        </w:tc>
        <w:tc>
          <w:tcPr>
            <w:tcW w:w="1157" w:type="dxa"/>
            <w:tcBorders>
              <w:top w:val="single" w:color="auto" w:sz="4" w:space="0"/>
              <w:left w:val="single" w:color="auto" w:sz="4" w:space="0"/>
              <w:bottom w:val="single" w:color="auto" w:sz="4" w:space="0"/>
              <w:right w:val="single" w:color="auto" w:sz="4" w:space="0"/>
            </w:tcBorders>
            <w:vAlign w:val="top"/>
          </w:tcPr>
          <w:p>
            <w:pPr>
              <w:pStyle w:val="3"/>
              <w:jc w:val="center"/>
              <w:rPr>
                <w:rFonts w:hint="eastAsia" w:ascii="宋体" w:hAnsi="宋体" w:eastAsia="宋体" w:cs="宋体"/>
                <w:szCs w:val="21"/>
                <w:lang w:val="en-US" w:eastAsia="zh-CN"/>
              </w:rPr>
            </w:pPr>
            <w:r>
              <w:rPr>
                <w:rFonts w:hint="eastAsia" w:ascii="宋体" w:hAnsi="宋体" w:eastAsia="宋体" w:cs="宋体"/>
                <w:szCs w:val="21"/>
              </w:rPr>
              <w:t>1</w:t>
            </w:r>
            <w:r>
              <w:rPr>
                <w:rFonts w:hint="eastAsia" w:ascii="宋体" w:hAnsi="宋体" w:eastAsia="宋体" w:cs="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4920" w:type="dxa"/>
            <w:tcBorders>
              <w:top w:val="single" w:color="auto" w:sz="4" w:space="0"/>
              <w:left w:val="single" w:color="auto" w:sz="4" w:space="0"/>
              <w:bottom w:val="single" w:color="auto" w:sz="4" w:space="0"/>
              <w:right w:val="single" w:color="auto" w:sz="4" w:space="0"/>
            </w:tcBorders>
            <w:vAlign w:val="top"/>
          </w:tcPr>
          <w:p>
            <w:pPr>
              <w:pStyle w:val="3"/>
              <w:jc w:val="left"/>
              <w:rPr>
                <w:rFonts w:hint="eastAsia" w:ascii="宋体" w:hAnsi="宋体" w:eastAsia="宋体" w:cs="宋体"/>
                <w:szCs w:val="21"/>
                <w:lang w:val="en-US" w:eastAsia="zh-CN"/>
              </w:rPr>
            </w:pPr>
            <w:r>
              <w:rPr>
                <w:rFonts w:hint="eastAsia" w:ascii="宋体" w:hAnsi="宋体" w:eastAsia="宋体" w:cs="宋体"/>
                <w:szCs w:val="21"/>
              </w:rPr>
              <w:t>6.正确完成结构化数据和非结构化数据的迁移，并完成系统联调测试</w:t>
            </w:r>
          </w:p>
        </w:tc>
        <w:tc>
          <w:tcPr>
            <w:tcW w:w="1157" w:type="dxa"/>
            <w:tcBorders>
              <w:top w:val="single" w:color="auto" w:sz="4" w:space="0"/>
              <w:left w:val="single" w:color="auto" w:sz="4" w:space="0"/>
              <w:bottom w:val="single" w:color="auto" w:sz="4" w:space="0"/>
              <w:right w:val="single" w:color="auto" w:sz="4" w:space="0"/>
            </w:tcBorders>
            <w:vAlign w:val="top"/>
          </w:tcPr>
          <w:p>
            <w:pPr>
              <w:pStyle w:val="3"/>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pPr>
              <w:pStyle w:val="3"/>
              <w:jc w:val="center"/>
              <w:rPr>
                <w:rFonts w:ascii="宋体" w:hAnsi="宋体" w:eastAsia="宋体" w:cs="宋体"/>
                <w:szCs w:val="21"/>
              </w:rPr>
            </w:pPr>
          </w:p>
        </w:tc>
        <w:tc>
          <w:tcPr>
            <w:tcW w:w="4920" w:type="dxa"/>
            <w:tcBorders>
              <w:top w:val="single" w:color="auto" w:sz="4" w:space="0"/>
              <w:left w:val="single" w:color="auto" w:sz="4" w:space="0"/>
              <w:bottom w:val="single" w:color="auto" w:sz="4" w:space="0"/>
              <w:right w:val="single" w:color="auto" w:sz="4" w:space="0"/>
            </w:tcBorders>
            <w:vAlign w:val="top"/>
          </w:tcPr>
          <w:p>
            <w:pPr>
              <w:pStyle w:val="3"/>
              <w:jc w:val="left"/>
              <w:rPr>
                <w:rFonts w:hint="eastAsia" w:ascii="宋体" w:hAnsi="宋体" w:eastAsia="宋体" w:cs="宋体"/>
                <w:szCs w:val="21"/>
                <w:lang w:val="en-US" w:eastAsia="zh-CN"/>
              </w:rPr>
            </w:pPr>
            <w:r>
              <w:rPr>
                <w:rFonts w:hint="eastAsia" w:ascii="宋体" w:hAnsi="宋体" w:eastAsia="宋体" w:cs="宋体"/>
                <w:szCs w:val="21"/>
              </w:rPr>
              <w:t>7.完成云应用的开发、测试用例开发及应用部署、发布测试</w:t>
            </w:r>
          </w:p>
        </w:tc>
        <w:tc>
          <w:tcPr>
            <w:tcW w:w="1157" w:type="dxa"/>
            <w:tcBorders>
              <w:top w:val="single" w:color="auto" w:sz="4" w:space="0"/>
              <w:left w:val="single" w:color="auto" w:sz="4" w:space="0"/>
              <w:bottom w:val="single" w:color="auto" w:sz="4" w:space="0"/>
              <w:right w:val="single" w:color="auto" w:sz="4" w:space="0"/>
            </w:tcBorders>
            <w:vAlign w:val="top"/>
          </w:tcPr>
          <w:p>
            <w:pPr>
              <w:pStyle w:val="3"/>
              <w:jc w:val="center"/>
              <w:rPr>
                <w:rFonts w:hint="eastAsia" w:ascii="宋体" w:hAnsi="宋体" w:eastAsia="宋体" w:cs="宋体"/>
                <w:szCs w:val="21"/>
                <w:lang w:val="en-US" w:eastAsia="zh-CN"/>
              </w:rPr>
            </w:pPr>
            <w:r>
              <w:rPr>
                <w:rFonts w:hint="eastAsia" w:ascii="宋体" w:hAnsi="宋体" w:eastAsia="宋体" w:cs="宋体"/>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tcBorders>
              <w:top w:val="single" w:color="auto" w:sz="4" w:space="0"/>
              <w:left w:val="single" w:color="auto" w:sz="4" w:space="0"/>
              <w:bottom w:val="single" w:color="auto" w:sz="4" w:space="0"/>
              <w:right w:val="single" w:color="auto" w:sz="4" w:space="0"/>
            </w:tcBorders>
          </w:tcPr>
          <w:p>
            <w:pPr>
              <w:pStyle w:val="3"/>
              <w:jc w:val="center"/>
              <w:rPr>
                <w:rFonts w:ascii="宋体" w:hAnsi="宋体" w:eastAsia="宋体" w:cs="宋体"/>
                <w:szCs w:val="21"/>
              </w:rPr>
            </w:pPr>
            <w:r>
              <w:rPr>
                <w:rFonts w:hint="eastAsia" w:ascii="宋体" w:hAnsi="宋体" w:eastAsia="宋体" w:cs="宋体"/>
                <w:szCs w:val="21"/>
                <w:lang w:val="en-US" w:eastAsia="zh-CN"/>
              </w:rPr>
              <w:t>合计</w:t>
            </w:r>
            <w:r>
              <w:rPr>
                <w:rFonts w:hint="eastAsia" w:ascii="宋体" w:hAnsi="宋体" w:eastAsia="宋体" w:cs="宋体"/>
                <w:szCs w:val="21"/>
              </w:rPr>
              <w:t>（%）</w:t>
            </w:r>
          </w:p>
        </w:tc>
        <w:tc>
          <w:tcPr>
            <w:tcW w:w="7142" w:type="dxa"/>
            <w:gridSpan w:val="3"/>
            <w:tcBorders>
              <w:top w:val="single" w:color="auto" w:sz="4" w:space="0"/>
              <w:left w:val="single" w:color="auto" w:sz="4" w:space="0"/>
              <w:bottom w:val="single" w:color="auto" w:sz="4" w:space="0"/>
              <w:right w:val="single" w:color="auto" w:sz="4" w:space="0"/>
            </w:tcBorders>
          </w:tcPr>
          <w:p>
            <w:pPr>
              <w:pStyle w:val="3"/>
              <w:ind w:firstLine="210" w:firstLineChars="100"/>
              <w:jc w:val="left"/>
              <w:rPr>
                <w:rFonts w:ascii="宋体" w:hAnsi="宋体" w:eastAsia="宋体" w:cs="宋体"/>
                <w:szCs w:val="21"/>
              </w:rPr>
            </w:pPr>
            <w:r>
              <w:rPr>
                <w:rFonts w:hint="eastAsia" w:ascii="宋体" w:hAnsi="宋体" w:eastAsia="宋体" w:cs="宋体"/>
                <w:szCs w:val="21"/>
              </w:rPr>
              <w:t>100</w:t>
            </w:r>
          </w:p>
        </w:tc>
      </w:tr>
    </w:tbl>
    <w:p>
      <w:pPr>
        <w:ind w:firstLine="480"/>
        <w:rPr>
          <w:rFonts w:hint="eastAsia"/>
          <w:b/>
        </w:rPr>
      </w:pPr>
    </w:p>
    <w:p>
      <w:pPr>
        <w:ind w:firstLine="480"/>
        <w:rPr>
          <w:b/>
        </w:rPr>
      </w:pPr>
      <w:r>
        <w:rPr>
          <w:rFonts w:hint="eastAsia"/>
          <w:b/>
        </w:rPr>
        <w:t>（三）评分方法</w:t>
      </w:r>
    </w:p>
    <w:p>
      <w:pPr>
        <w:ind w:firstLine="480"/>
      </w:pPr>
      <w:r>
        <w:rPr>
          <w:rFonts w:hint="eastAsia"/>
        </w:rPr>
        <w:t>1. 评分原则</w:t>
      </w:r>
    </w:p>
    <w:p>
      <w:pPr>
        <w:spacing w:line="360" w:lineRule="auto"/>
        <w:ind w:firstLine="480"/>
        <w:rPr>
          <w:rFonts w:ascii="Calibri" w:hAnsi="Calibri"/>
          <w:lang w:val="zh-CN"/>
        </w:rPr>
      </w:pPr>
      <w:r>
        <w:rPr>
          <w:rFonts w:hint="eastAsia" w:ascii="Calibri" w:hAnsi="Calibri"/>
          <w:lang w:val="zh-CN"/>
        </w:rPr>
        <w:t>（1）主观评分不超过10%，客观评分占90%以上，体现公平、公正原则。</w:t>
      </w:r>
    </w:p>
    <w:p>
      <w:pPr>
        <w:spacing w:line="360" w:lineRule="auto"/>
        <w:ind w:firstLine="480"/>
        <w:rPr>
          <w:rFonts w:ascii="Calibri" w:hAnsi="Calibri"/>
          <w:lang w:val="zh-CN"/>
        </w:rPr>
      </w:pPr>
      <w:r>
        <w:rPr>
          <w:rFonts w:hint="eastAsia" w:ascii="Calibri" w:hAnsi="Calibri"/>
          <w:lang w:val="zh-CN"/>
        </w:rPr>
        <w:t xml:space="preserve">（2）按照加分的原则，采取分步得分、累计总分的计分方式。各环节分别计算得分，按规定比例计入总分。正确完成每一个评分点的内容，则该项加分；完成的不正确，则该项不得分。 </w:t>
      </w:r>
    </w:p>
    <w:p>
      <w:pPr>
        <w:spacing w:line="360" w:lineRule="auto"/>
        <w:ind w:firstLine="480"/>
        <w:rPr>
          <w:rFonts w:hint="eastAsia" w:ascii="Calibri" w:hAnsi="Calibri"/>
          <w:lang w:val="zh-CN"/>
        </w:rPr>
      </w:pPr>
      <w:r>
        <w:rPr>
          <w:rFonts w:hint="eastAsia" w:ascii="Calibri" w:hAnsi="Calibri"/>
          <w:lang w:val="zh-CN"/>
        </w:rPr>
        <w:t>（3）强调完成</w:t>
      </w:r>
      <w:r>
        <w:rPr>
          <w:rFonts w:hint="eastAsia" w:ascii="Calibri" w:hAnsi="Calibri"/>
          <w:lang w:val="en-US" w:eastAsia="zh-CN"/>
        </w:rPr>
        <w:t>任务要求</w:t>
      </w:r>
      <w:r>
        <w:rPr>
          <w:rFonts w:hint="eastAsia" w:ascii="Calibri" w:hAnsi="Calibri"/>
          <w:lang w:val="zh-CN"/>
        </w:rPr>
        <w:t>的功能和质量。如果完成了某一单项工作，但功能和质量不达标，则不加分。</w:t>
      </w:r>
    </w:p>
    <w:p>
      <w:pPr>
        <w:spacing w:line="360" w:lineRule="auto"/>
        <w:ind w:firstLine="480"/>
        <w:rPr>
          <w:rFonts w:hint="default" w:ascii="Calibri" w:hAnsi="Calibri" w:eastAsia="华文细黑"/>
          <w:lang w:val="en-US" w:eastAsia="zh-CN"/>
        </w:rPr>
      </w:pPr>
      <w:r>
        <w:rPr>
          <w:rFonts w:hint="eastAsia" w:ascii="Calibri" w:hAnsi="Calibri"/>
          <w:lang w:val="zh-CN"/>
        </w:rPr>
        <w:t>（</w:t>
      </w:r>
      <w:r>
        <w:rPr>
          <w:rFonts w:hint="eastAsia" w:ascii="Calibri" w:hAnsi="Calibri"/>
          <w:lang w:val="en-US" w:eastAsia="zh-CN"/>
        </w:rPr>
        <w:t>4）比赛过程中若违反职业素养规定，将视情况从总分中扣除1-10分。</w:t>
      </w:r>
    </w:p>
    <w:p>
      <w:pPr>
        <w:spacing w:line="360" w:lineRule="auto"/>
        <w:ind w:firstLine="480"/>
        <w:rPr>
          <w:rFonts w:ascii="Calibri" w:hAnsi="Calibri"/>
          <w:lang w:val="zh-CN"/>
        </w:rPr>
      </w:pPr>
      <w:r>
        <w:rPr>
          <w:rFonts w:hint="eastAsia" w:ascii="Calibri" w:hAnsi="Calibri"/>
          <w:lang w:val="zh-CN"/>
        </w:rPr>
        <w:t>2．评分流程</w:t>
      </w:r>
    </w:p>
    <w:p>
      <w:pPr>
        <w:spacing w:line="360" w:lineRule="auto"/>
        <w:ind w:firstLine="480"/>
        <w:rPr>
          <w:rFonts w:ascii="Calibri" w:hAnsi="Calibri"/>
          <w:lang w:val="zh-CN"/>
        </w:rPr>
      </w:pPr>
      <w:r>
        <w:rPr>
          <w:rFonts w:hint="eastAsia" w:ascii="Calibri" w:hAnsi="Calibri"/>
          <w:lang w:val="zh-CN"/>
        </w:rPr>
        <w:t>（1）选手确认比赛成果文件和提交材料。选手按要求的存盘位置保存好比赛成果文件，比赛结束时，选手应停止操作，在自己的比赛工位原地不动，禁止随意添加任何权限和密码，由</w:t>
      </w:r>
      <w:r>
        <w:rPr>
          <w:rFonts w:hint="eastAsia" w:ascii="Calibri" w:hAnsi="Calibri"/>
          <w:lang w:val="en-US" w:eastAsia="zh-CN"/>
        </w:rPr>
        <w:t>监考</w:t>
      </w:r>
      <w:r>
        <w:rPr>
          <w:rFonts w:hint="eastAsia" w:ascii="Calibri" w:hAnsi="Calibri"/>
          <w:lang w:val="zh-CN"/>
        </w:rPr>
        <w:t>员到比赛工位与选手确认比赛成果文件和提交材料。选手离开比赛现场时，不要关闭任何设备的电源，不要退出系统当前状态和关闭系统。</w:t>
      </w:r>
    </w:p>
    <w:p>
      <w:pPr>
        <w:spacing w:line="360" w:lineRule="auto"/>
        <w:ind w:firstLine="480"/>
        <w:rPr>
          <w:rFonts w:ascii="Calibri" w:hAnsi="Calibri"/>
          <w:lang w:val="zh-CN"/>
        </w:rPr>
      </w:pPr>
      <w:r>
        <w:rPr>
          <w:rFonts w:hint="eastAsia" w:ascii="Calibri" w:hAnsi="Calibri"/>
          <w:lang w:val="zh-CN"/>
        </w:rPr>
        <w:t>（2）</w:t>
      </w:r>
      <w:r>
        <w:rPr>
          <w:rFonts w:hint="eastAsia" w:ascii="Calibri" w:hAnsi="Calibri"/>
          <w:lang w:val="en-US" w:eastAsia="zh-CN"/>
        </w:rPr>
        <w:t>监考</w:t>
      </w:r>
      <w:r>
        <w:rPr>
          <w:rFonts w:hint="eastAsia" w:ascii="Calibri" w:hAnsi="Calibri"/>
          <w:lang w:val="zh-CN"/>
        </w:rPr>
        <w:t>员收集、归整选手的比赛成果文件。由</w:t>
      </w:r>
      <w:r>
        <w:rPr>
          <w:rFonts w:hint="eastAsia" w:ascii="Calibri" w:hAnsi="Calibri"/>
          <w:lang w:val="en-US" w:eastAsia="zh-CN"/>
        </w:rPr>
        <w:t>监考</w:t>
      </w:r>
      <w:r>
        <w:rPr>
          <w:rFonts w:hint="eastAsia" w:ascii="Calibri" w:hAnsi="Calibri"/>
          <w:lang w:val="zh-CN"/>
        </w:rPr>
        <w:t>员收集选手的比赛成果文件，按比赛工位号进行归整，并做好相应的保密措施，严禁泄露竞赛成果文件的选手信息。</w:t>
      </w:r>
    </w:p>
    <w:p>
      <w:pPr>
        <w:spacing w:line="360" w:lineRule="auto"/>
        <w:ind w:firstLine="480"/>
        <w:rPr>
          <w:rFonts w:ascii="Calibri" w:hAnsi="Calibri"/>
          <w:lang w:val="zh-CN"/>
        </w:rPr>
      </w:pPr>
      <w:r>
        <w:rPr>
          <w:rFonts w:hint="eastAsia" w:ascii="Calibri" w:hAnsi="Calibri"/>
          <w:lang w:val="zh-CN"/>
        </w:rPr>
        <w:t>（3）裁判长组织裁判员对选手的比赛成果文件进行评分。每组裁判员只</w:t>
      </w:r>
      <w:r>
        <w:rPr>
          <w:rFonts w:hint="eastAsia"/>
          <w:lang w:val="zh-CN"/>
        </w:rPr>
        <w:t>对每</w:t>
      </w:r>
      <w:r>
        <w:rPr>
          <w:rFonts w:hint="eastAsia"/>
        </w:rPr>
        <w:t>队</w:t>
      </w:r>
      <w:r>
        <w:rPr>
          <w:rFonts w:hint="eastAsia" w:ascii="Calibri" w:hAnsi="Calibri"/>
          <w:lang w:val="zh-CN"/>
        </w:rPr>
        <w:t>选手所做成果的某一部分进行评分。为保持评分的一致性，同一项评分点要由同一组裁判员</w:t>
      </w:r>
      <w:r>
        <w:rPr>
          <w:rFonts w:hint="eastAsia" w:ascii="Calibri" w:hAnsi="Calibri"/>
        </w:rPr>
        <w:t>实施</w:t>
      </w:r>
      <w:r>
        <w:rPr>
          <w:rFonts w:hint="eastAsia" w:ascii="Calibri" w:hAnsi="Calibri"/>
          <w:lang w:val="zh-CN"/>
        </w:rPr>
        <w:t>完成。</w:t>
      </w:r>
    </w:p>
    <w:p>
      <w:pPr>
        <w:spacing w:line="360" w:lineRule="auto"/>
        <w:ind w:firstLine="480"/>
        <w:rPr>
          <w:rFonts w:ascii="Calibri" w:hAnsi="Calibri"/>
          <w:lang w:val="zh-CN"/>
        </w:rPr>
      </w:pPr>
      <w:r>
        <w:rPr>
          <w:rFonts w:hint="eastAsia" w:ascii="Calibri" w:hAnsi="Calibri"/>
          <w:lang w:val="zh-CN"/>
        </w:rPr>
        <w:t>（</w:t>
      </w:r>
      <w:r>
        <w:rPr>
          <w:rFonts w:hint="eastAsia" w:ascii="Calibri" w:hAnsi="Calibri"/>
          <w:lang w:val="en-US" w:eastAsia="zh-CN"/>
        </w:rPr>
        <w:t>4</w:t>
      </w:r>
      <w:r>
        <w:rPr>
          <w:rFonts w:hint="eastAsia" w:ascii="Calibri" w:hAnsi="Calibri"/>
          <w:lang w:val="zh-CN"/>
        </w:rPr>
        <w:t>）处理违纪情况。在竞赛过程中，参赛选手如有违反安全操作、影响人身安全与健康、损坏竞赛设施等行为，立即停止比赛，后续成绩不进行计算。如发生不遵守比赛规则、不服从裁判裁决、扰乱赛场秩序以及舞弊等行为的，立即停止比赛，取消比赛资格。</w:t>
      </w:r>
    </w:p>
    <w:p>
      <w:pPr>
        <w:spacing w:line="360" w:lineRule="auto"/>
        <w:ind w:firstLine="480"/>
        <w:rPr>
          <w:rFonts w:ascii="Calibri" w:hAnsi="Calibri"/>
          <w:lang w:val="zh-CN"/>
        </w:rPr>
      </w:pPr>
      <w:r>
        <w:rPr>
          <w:rFonts w:hint="eastAsia" w:ascii="Calibri" w:hAnsi="Calibri"/>
          <w:lang w:val="zh-CN"/>
        </w:rPr>
        <w:t>（</w:t>
      </w:r>
      <w:r>
        <w:rPr>
          <w:rFonts w:hint="eastAsia" w:ascii="Calibri" w:hAnsi="Calibri"/>
          <w:lang w:val="en-US" w:eastAsia="zh-CN"/>
        </w:rPr>
        <w:t>5</w:t>
      </w:r>
      <w:r>
        <w:rPr>
          <w:rFonts w:hint="eastAsia" w:ascii="Calibri" w:hAnsi="Calibri"/>
          <w:lang w:val="zh-CN"/>
        </w:rPr>
        <w:t>）保留选手的比赛成果文件到申诉截止时间。</w:t>
      </w:r>
    </w:p>
    <w:p>
      <w:pPr>
        <w:spacing w:line="360" w:lineRule="auto"/>
        <w:ind w:firstLine="480"/>
        <w:rPr>
          <w:rFonts w:ascii="Calibri" w:hAnsi="Calibri"/>
          <w:lang w:val="zh-CN"/>
        </w:rPr>
      </w:pPr>
      <w:r>
        <w:rPr>
          <w:rFonts w:hint="eastAsia" w:ascii="Calibri" w:hAnsi="Calibri"/>
          <w:lang w:val="zh-CN"/>
        </w:rPr>
        <w:t>3.</w:t>
      </w:r>
      <w:r>
        <w:rPr>
          <w:rFonts w:hint="eastAsia" w:ascii="Calibri" w:hAnsi="Calibri"/>
        </w:rPr>
        <w:t xml:space="preserve"> </w:t>
      </w:r>
      <w:r>
        <w:rPr>
          <w:rFonts w:hint="eastAsia" w:ascii="Calibri" w:hAnsi="Calibri"/>
          <w:lang w:val="zh-CN"/>
        </w:rPr>
        <w:t>评分方法</w:t>
      </w:r>
    </w:p>
    <w:p>
      <w:pPr>
        <w:spacing w:line="360" w:lineRule="auto"/>
        <w:ind w:firstLine="480"/>
        <w:rPr>
          <w:rFonts w:hint="eastAsia" w:ascii="Calibri" w:hAnsi="Calibri"/>
          <w:lang w:val="zh-CN"/>
        </w:rPr>
      </w:pPr>
      <w:r>
        <w:rPr>
          <w:rFonts w:hint="eastAsia" w:ascii="Calibri" w:hAnsi="Calibri"/>
          <w:lang w:val="zh-CN"/>
        </w:rPr>
        <w:t>（1）主观评分必须由三人以上对某一项进行现场评分。</w:t>
      </w:r>
    </w:p>
    <w:p>
      <w:pPr>
        <w:spacing w:line="360" w:lineRule="auto"/>
        <w:ind w:firstLine="480"/>
        <w:rPr>
          <w:rFonts w:hint="eastAsia" w:ascii="Calibri" w:hAnsi="Calibri"/>
          <w:lang w:val="zh-CN"/>
        </w:rPr>
      </w:pPr>
      <w:r>
        <w:rPr>
          <w:rFonts w:hint="eastAsia" w:ascii="Calibri" w:hAnsi="Calibri"/>
          <w:lang w:val="zh-CN"/>
        </w:rPr>
        <w:t>（2）云网络架构设计与搭建，通过评价选手现场配置完成情况和上交的可以证明完成配置的截图报告给分。</w:t>
      </w:r>
    </w:p>
    <w:p>
      <w:pPr>
        <w:spacing w:line="360" w:lineRule="auto"/>
        <w:ind w:firstLine="480"/>
        <w:rPr>
          <w:rFonts w:hint="eastAsia" w:ascii="Calibri" w:hAnsi="Calibri"/>
          <w:lang w:val="zh-CN"/>
        </w:rPr>
      </w:pPr>
      <w:r>
        <w:rPr>
          <w:rFonts w:hint="eastAsia" w:ascii="Calibri" w:hAnsi="Calibri"/>
          <w:lang w:val="zh-CN"/>
        </w:rPr>
        <w:t>（3）云应用架构部署与运维，</w:t>
      </w:r>
      <w:bookmarkStart w:id="0" w:name="_Hlk103333461"/>
      <w:r>
        <w:rPr>
          <w:rFonts w:hint="eastAsia" w:ascii="Calibri" w:hAnsi="Calibri"/>
          <w:lang w:val="zh-CN"/>
        </w:rPr>
        <w:t>通过评价选手现场配置完成情况和上交的可以证明完成配置的截图报告给分。</w:t>
      </w:r>
      <w:bookmarkEnd w:id="0"/>
    </w:p>
    <w:p>
      <w:pPr>
        <w:spacing w:line="360" w:lineRule="auto"/>
        <w:ind w:firstLine="480"/>
        <w:rPr>
          <w:rFonts w:hint="eastAsia" w:ascii="Calibri" w:hAnsi="Calibri"/>
          <w:lang w:val="zh-CN"/>
        </w:rPr>
      </w:pPr>
      <w:r>
        <w:rPr>
          <w:rFonts w:hint="eastAsia" w:ascii="Calibri" w:hAnsi="Calibri"/>
          <w:lang w:val="zh-CN"/>
        </w:rPr>
        <w:t>（4）业务系统上云迁移，通过评价选手现场配置完成情况和上交的可以证明完成配置的截图报告给分。</w:t>
      </w:r>
    </w:p>
    <w:p>
      <w:pPr>
        <w:spacing w:line="360" w:lineRule="auto"/>
        <w:ind w:firstLine="480"/>
        <w:rPr>
          <w:rFonts w:hint="eastAsia" w:ascii="Calibri" w:hAnsi="Calibri"/>
          <w:lang w:val="zh-CN"/>
        </w:rPr>
      </w:pPr>
      <w:r>
        <w:rPr>
          <w:rFonts w:hint="eastAsia" w:ascii="Calibri" w:hAnsi="Calibri"/>
          <w:lang w:val="zh-CN"/>
        </w:rPr>
        <w:t>（5）云上应用编程，通过评价选手上交的程序文件及运行测试截图报告给分。</w:t>
      </w:r>
    </w:p>
    <w:p>
      <w:pPr>
        <w:pStyle w:val="5"/>
        <w:spacing w:before="156"/>
        <w:ind w:firstLine="602"/>
        <w:rPr>
          <w:rFonts w:ascii="仿宋" w:hAnsi="仿宋" w:eastAsia="仿宋"/>
          <w:b/>
          <w:bCs/>
          <w:szCs w:val="28"/>
        </w:rPr>
      </w:pPr>
      <w:r>
        <w:rPr>
          <w:rFonts w:hint="eastAsia" w:ascii="黑体" w:hAnsi="黑体" w:cs="黑体"/>
          <w:b/>
          <w:bCs/>
          <w:szCs w:val="30"/>
        </w:rPr>
        <w:t>六、实际操作竞赛场地与设施</w:t>
      </w:r>
    </w:p>
    <w:p>
      <w:pPr>
        <w:ind w:firstLine="480"/>
        <w:rPr>
          <w:b/>
        </w:rPr>
      </w:pPr>
      <w:r>
        <w:rPr>
          <w:rFonts w:hint="eastAsia"/>
          <w:b/>
        </w:rPr>
        <w:t>（一）竞赛场地</w:t>
      </w:r>
    </w:p>
    <w:p>
      <w:pPr>
        <w:ind w:firstLine="480"/>
      </w:pPr>
      <w:r>
        <w:rPr>
          <w:rFonts w:hint="eastAsia"/>
        </w:rPr>
        <w:t>1．竞赛工位</w:t>
      </w:r>
    </w:p>
    <w:p>
      <w:pPr>
        <w:spacing w:line="360" w:lineRule="auto"/>
        <w:ind w:firstLine="480"/>
        <w:rPr>
          <w:rFonts w:ascii="Calibri" w:hAnsi="Calibri"/>
          <w:lang w:val="zh-CN"/>
        </w:rPr>
      </w:pPr>
      <w:r>
        <w:rPr>
          <w:rFonts w:hint="eastAsia" w:ascii="Calibri" w:hAnsi="Calibri"/>
          <w:lang w:val="zh-CN"/>
        </w:rPr>
        <w:t>（1）每个工位占地</w:t>
      </w:r>
      <w:r>
        <w:rPr>
          <w:rFonts w:hint="eastAsia" w:ascii="Calibri" w:hAnsi="Calibri"/>
          <w:lang w:val="en-US" w:eastAsia="zh-CN"/>
        </w:rPr>
        <w:t>6</w:t>
      </w:r>
      <w:r>
        <w:rPr>
          <w:rFonts w:hint="eastAsia" w:ascii="Calibri" w:hAnsi="Calibri"/>
          <w:lang w:val="zh-CN"/>
        </w:rPr>
        <w:t xml:space="preserve"> m</w:t>
      </w:r>
      <w:r>
        <w:rPr>
          <w:rFonts w:ascii="Calibri" w:hAnsi="Calibri"/>
          <w:lang w:val="zh-CN"/>
        </w:rPr>
        <w:t>²</w:t>
      </w:r>
      <w:r>
        <w:rPr>
          <w:rFonts w:hint="eastAsia" w:ascii="Calibri" w:hAnsi="Calibri"/>
          <w:lang w:val="zh-CN"/>
        </w:rPr>
        <w:t>，标明工位号。</w:t>
      </w:r>
    </w:p>
    <w:p>
      <w:pPr>
        <w:spacing w:line="360" w:lineRule="auto"/>
        <w:ind w:firstLine="480"/>
        <w:rPr>
          <w:rFonts w:ascii="Calibri" w:hAnsi="Calibri"/>
          <w:lang w:val="zh-CN"/>
        </w:rPr>
      </w:pPr>
      <w:r>
        <w:rPr>
          <w:rFonts w:hint="eastAsia" w:ascii="Calibri" w:hAnsi="Calibri"/>
          <w:lang w:val="zh-CN"/>
        </w:rPr>
        <w:t>（2）每个工位供电相对独立，并设置漏电保护或触电保护装置，以确保特殊情况下的安全。</w:t>
      </w:r>
    </w:p>
    <w:p>
      <w:pPr>
        <w:spacing w:line="360" w:lineRule="auto"/>
        <w:ind w:firstLine="480"/>
        <w:rPr>
          <w:rFonts w:ascii="Calibri" w:hAnsi="Calibri"/>
          <w:lang w:val="zh-CN"/>
        </w:rPr>
      </w:pPr>
      <w:r>
        <w:rPr>
          <w:rFonts w:hint="eastAsia" w:ascii="Calibri" w:hAnsi="Calibri"/>
          <w:lang w:val="zh-CN"/>
        </w:rPr>
        <w:t>（3）为保证大赛顺利进行，赛场具有双电源保障。</w:t>
      </w:r>
    </w:p>
    <w:p>
      <w:pPr>
        <w:spacing w:line="360" w:lineRule="auto"/>
        <w:ind w:firstLine="480"/>
      </w:pPr>
      <w:r>
        <w:rPr>
          <w:rFonts w:hint="eastAsia" w:ascii="Calibri" w:hAnsi="Calibri"/>
          <w:lang w:val="zh-CN"/>
        </w:rPr>
        <w:t>（4）每工位相对隔离，保持足够的亮度。</w:t>
      </w:r>
    </w:p>
    <w:p>
      <w:pPr>
        <w:ind w:firstLine="480"/>
      </w:pPr>
      <w:r>
        <w:rPr>
          <w:rFonts w:hint="eastAsia"/>
        </w:rPr>
        <w:t>2．赛场设施</w:t>
      </w:r>
    </w:p>
    <w:p>
      <w:pPr>
        <w:spacing w:line="360" w:lineRule="auto"/>
        <w:ind w:firstLine="480"/>
        <w:rPr>
          <w:rFonts w:ascii="Calibri" w:hAnsi="Calibri"/>
          <w:lang w:val="zh-CN"/>
        </w:rPr>
      </w:pPr>
      <w:r>
        <w:rPr>
          <w:rFonts w:hint="eastAsia" w:ascii="Calibri" w:hAnsi="Calibri"/>
          <w:lang w:val="zh-CN"/>
        </w:rPr>
        <w:t>（1）赛场备有简单的外伤急救医药箱。</w:t>
      </w:r>
    </w:p>
    <w:p>
      <w:pPr>
        <w:spacing w:line="360" w:lineRule="auto"/>
        <w:ind w:firstLine="480"/>
        <w:rPr>
          <w:rFonts w:ascii="Calibri" w:hAnsi="Calibri"/>
          <w:lang w:val="zh-CN"/>
        </w:rPr>
      </w:pPr>
      <w:r>
        <w:rPr>
          <w:rFonts w:hint="eastAsia" w:ascii="Calibri" w:hAnsi="Calibri"/>
          <w:lang w:val="zh-CN"/>
        </w:rPr>
        <w:t>（2）赛场留有参观通道和裁判办公区。</w:t>
      </w:r>
    </w:p>
    <w:p>
      <w:pPr>
        <w:spacing w:line="360" w:lineRule="auto"/>
        <w:ind w:firstLine="480"/>
        <w:rPr>
          <w:rFonts w:ascii="Calibri" w:hAnsi="Calibri"/>
          <w:lang w:val="zh-CN"/>
        </w:rPr>
      </w:pPr>
      <w:r>
        <w:rPr>
          <w:rFonts w:hint="eastAsia" w:ascii="Calibri" w:hAnsi="Calibri"/>
          <w:lang w:val="zh-CN"/>
        </w:rPr>
        <w:t>（3）赛场具有良好的通风和温湿度条件，具有安全疏散通道、灭火器等消防设施，同时做好安全警示和应急措施。</w:t>
      </w:r>
    </w:p>
    <w:p>
      <w:pPr>
        <w:spacing w:line="360" w:lineRule="auto"/>
        <w:ind w:firstLine="480"/>
        <w:rPr>
          <w:rFonts w:hint="eastAsia" w:ascii="Calibri" w:hAnsi="Calibri"/>
          <w:lang w:val="zh-CN"/>
        </w:rPr>
      </w:pPr>
      <w:r>
        <w:rPr>
          <w:rFonts w:hint="eastAsia" w:ascii="Calibri" w:hAnsi="Calibri"/>
          <w:lang w:val="zh-CN"/>
        </w:rPr>
        <w:t>（4）比赛设备及技术参数待后续补充技术文件公布。</w:t>
      </w:r>
    </w:p>
    <w:p>
      <w:pPr>
        <w:pStyle w:val="5"/>
        <w:spacing w:before="156"/>
        <w:ind w:firstLine="602"/>
        <w:rPr>
          <w:rFonts w:ascii="仿宋" w:hAnsi="仿宋" w:eastAsia="仿宋"/>
          <w:b/>
          <w:bCs/>
          <w:szCs w:val="28"/>
        </w:rPr>
      </w:pPr>
      <w:r>
        <w:rPr>
          <w:rFonts w:hint="eastAsia" w:ascii="黑体" w:hAnsi="黑体" w:cs="黑体"/>
          <w:b/>
          <w:bCs/>
          <w:szCs w:val="30"/>
        </w:rPr>
        <w:t>七、竞赛安全</w:t>
      </w:r>
    </w:p>
    <w:p>
      <w:pPr>
        <w:ind w:firstLine="480"/>
        <w:rPr>
          <w:b/>
        </w:rPr>
      </w:pPr>
      <w:r>
        <w:rPr>
          <w:rFonts w:hint="eastAsia"/>
          <w:b/>
        </w:rPr>
        <w:t>（一）赛场安全</w:t>
      </w:r>
    </w:p>
    <w:p>
      <w:pPr>
        <w:ind w:firstLine="480"/>
      </w:pPr>
      <w:r>
        <w:rPr>
          <w:rFonts w:hint="eastAsia"/>
        </w:rPr>
        <w:t>1.赛场所有人员（赛场管理与组织人员、裁判员、参赛人员以及观摩人员）不得在竞赛现场内外吸烟，不听劝阻者将通报批评或清退比赛现场，造成严重后果的将依法处理。</w:t>
      </w:r>
    </w:p>
    <w:p>
      <w:pPr>
        <w:ind w:firstLine="480"/>
      </w:pPr>
      <w:r>
        <w:rPr>
          <w:rFonts w:hint="eastAsia"/>
        </w:rPr>
        <w:t>2.未经允许不得使用和移动竞赛场内的任何设施设备（包括消防器材等），工具使用后放回原处。</w:t>
      </w:r>
    </w:p>
    <w:p>
      <w:pPr>
        <w:ind w:firstLine="480"/>
      </w:pPr>
      <w:r>
        <w:rPr>
          <w:rFonts w:hint="eastAsia"/>
        </w:rPr>
        <w:t>3.选手在竞赛中必须遵守赛场的各项规章制度和操作规程，安全、合理的使用各种设施设备和工具，出现严重违章操作设备的，裁判视情节轻重进行批评或终止比赛。</w:t>
      </w:r>
    </w:p>
    <w:p>
      <w:pPr>
        <w:ind w:firstLine="480"/>
      </w:pPr>
      <w:r>
        <w:rPr>
          <w:rFonts w:hint="eastAsia"/>
        </w:rPr>
        <w:t>4.选手参加实际操作竞赛前，应认真学习竞赛项目安全操作规程。竞赛中如发现问题应及时解决，无法解决的问题应及时向裁判员报告，裁判员视情况予以判定，并协调处理。</w:t>
      </w:r>
    </w:p>
    <w:p>
      <w:pPr>
        <w:ind w:firstLine="480"/>
      </w:pPr>
      <w:r>
        <w:rPr>
          <w:rFonts w:hint="eastAsia"/>
        </w:rPr>
        <w:t>5.参赛选手不得触动非竞赛用仪器设备，对竞赛仪器设备造成损坏，由当事人承担赔偿责任（视情节而定），并通报批评；参赛选手若出现恶意破坏仪器设备等严重情节的将依法处理。</w:t>
      </w:r>
    </w:p>
    <w:p>
      <w:pPr>
        <w:ind w:firstLine="480"/>
      </w:pPr>
      <w:r>
        <w:rPr>
          <w:rFonts w:hint="eastAsia"/>
        </w:rPr>
        <w:t>6.比赛期间所有进入赛区车辆、人员需凭证入内，并主动向工作人员出示。</w:t>
      </w:r>
    </w:p>
    <w:p>
      <w:pPr>
        <w:ind w:firstLine="480"/>
      </w:pPr>
      <w:r>
        <w:rPr>
          <w:rFonts w:hint="eastAsia"/>
        </w:rPr>
        <w:t>7.赛前，选手要认真阅读竞赛服务指南和秩序册。</w:t>
      </w:r>
    </w:p>
    <w:p>
      <w:pPr>
        <w:ind w:firstLine="480"/>
      </w:pPr>
      <w:r>
        <w:rPr>
          <w:rFonts w:hint="eastAsia"/>
        </w:rPr>
        <w:t>8.各类人员须严格遵守赛场规则，严禁携带比赛严令禁止的物品入内。</w:t>
      </w:r>
    </w:p>
    <w:p>
      <w:pPr>
        <w:ind w:firstLine="480"/>
      </w:pPr>
      <w:r>
        <w:rPr>
          <w:rFonts w:hint="eastAsia"/>
        </w:rPr>
        <w:t>9.严禁携带易燃易爆等危险品入内。</w:t>
      </w:r>
    </w:p>
    <w:p>
      <w:pPr>
        <w:ind w:firstLine="480"/>
      </w:pPr>
      <w:r>
        <w:rPr>
          <w:rFonts w:hint="eastAsia"/>
        </w:rPr>
        <w:t>10.赛场必须留有安全通道，必须配备灭火设备，赛场应具备良好的通风、照明和操作空间的条件。同时做好竞赛安全、健康和公共卫生及突发事件预防与应急处理等工作。</w:t>
      </w:r>
    </w:p>
    <w:p>
      <w:pPr>
        <w:ind w:firstLine="480"/>
      </w:pPr>
      <w:r>
        <w:rPr>
          <w:rFonts w:hint="eastAsia"/>
        </w:rPr>
        <w:t>11.安保人员发现安全隐患要立即报告赛场负责人员。</w:t>
      </w:r>
    </w:p>
    <w:p>
      <w:pPr>
        <w:ind w:firstLine="480"/>
      </w:pPr>
      <w:r>
        <w:rPr>
          <w:rFonts w:hint="eastAsia"/>
        </w:rPr>
        <w:t>12.如遇突发严重事件，在安保人员指挥下，迅速按紧急疏散路线撤离现场。</w:t>
      </w:r>
    </w:p>
    <w:p>
      <w:pPr>
        <w:ind w:firstLine="480"/>
      </w:pPr>
      <w:r>
        <w:rPr>
          <w:rFonts w:hint="eastAsia"/>
        </w:rPr>
        <w:t>13.赛场必须配备医护人员和必须的药品。</w:t>
      </w:r>
    </w:p>
    <w:p>
      <w:pPr>
        <w:ind w:firstLine="480"/>
        <w:rPr>
          <w:b/>
        </w:rPr>
      </w:pPr>
      <w:r>
        <w:rPr>
          <w:rFonts w:hint="eastAsia"/>
          <w:b/>
        </w:rPr>
        <w:t>（二）安全操作规程</w:t>
      </w:r>
    </w:p>
    <w:p>
      <w:pPr>
        <w:ind w:firstLine="480"/>
      </w:pPr>
      <w:r>
        <w:rPr>
          <w:rFonts w:hint="eastAsia"/>
        </w:rPr>
        <w:t>1.选手严格执行工作程序、工作规范、工作文件和安全操作规程。着装整洁，保持工作环境清洁有序，文明生产。</w:t>
      </w:r>
    </w:p>
    <w:p>
      <w:pPr>
        <w:ind w:firstLine="480"/>
      </w:pPr>
      <w:r>
        <w:rPr>
          <w:rFonts w:hint="eastAsia"/>
        </w:rPr>
        <w:t>2.选手必须了解比赛场地环境布局，包括：工作场地行走的平整、畅通和安全稳定性，设备财产的保管，紧急疏散通道的位置，疾病的应急措施等。</w:t>
      </w:r>
    </w:p>
    <w:p>
      <w:pPr>
        <w:ind w:firstLine="480"/>
      </w:pPr>
      <w:r>
        <w:rPr>
          <w:rFonts w:hint="eastAsia"/>
        </w:rPr>
        <w:t>3.选手必须了解比赛工位的工具和设备的摆放，供电方式，安全操作得位置，工作台和桌椅的安全稳定性等。</w:t>
      </w:r>
    </w:p>
    <w:p>
      <w:pPr>
        <w:ind w:firstLine="480"/>
      </w:pPr>
      <w:r>
        <w:rPr>
          <w:rFonts w:hint="eastAsia"/>
        </w:rPr>
        <w:t>4.了解场地和设备的电源电压，供电位置，供电功率以及电源线插接和安放的安全性，供电是否正常，安全用电注意事项等。禁止随意插拔电源，防止线路或杂物造成短路。</w:t>
      </w:r>
    </w:p>
    <w:p>
      <w:pPr>
        <w:ind w:firstLine="480"/>
      </w:pPr>
      <w:r>
        <w:rPr>
          <w:rFonts w:hint="eastAsia"/>
          <w:lang w:val="en-US" w:eastAsia="zh-CN"/>
        </w:rPr>
        <w:t>5</w:t>
      </w:r>
      <w:r>
        <w:rPr>
          <w:rFonts w:hint="eastAsia"/>
        </w:rPr>
        <w:t>.比赛前禁止饮酒，比赛期间禁止吸烟，禁止在操作的设备前饮水、饮食，严禁边操作边饮食。</w:t>
      </w:r>
    </w:p>
    <w:p>
      <w:pPr>
        <w:ind w:firstLine="480"/>
      </w:pPr>
      <w:r>
        <w:rPr>
          <w:rFonts w:hint="eastAsia"/>
          <w:lang w:val="en-US" w:eastAsia="zh-CN"/>
        </w:rPr>
        <w:t>6</w:t>
      </w:r>
      <w:r>
        <w:rPr>
          <w:rFonts w:hint="eastAsia"/>
        </w:rPr>
        <w:t>.操作竞赛设备时，做好防静电处理，防止人身带有静电操作电子设备，避免静电对设备造成损坏。</w:t>
      </w:r>
    </w:p>
    <w:p>
      <w:pPr>
        <w:ind w:firstLine="480"/>
      </w:pPr>
      <w:r>
        <w:rPr>
          <w:rFonts w:hint="eastAsia"/>
          <w:lang w:val="en-US" w:eastAsia="zh-CN"/>
        </w:rPr>
        <w:t>7</w:t>
      </w:r>
      <w:r>
        <w:rPr>
          <w:rFonts w:hint="eastAsia"/>
        </w:rPr>
        <w:t>.不允许带电拔插串口电缆、设备模块、键盘、鼠标、显示器以及其他计算机外设通信接口，以免造成损坏。拔插电缆时要缓慢轻柔，不允许野蛮操作，避免造成设备损坏。</w:t>
      </w:r>
    </w:p>
    <w:p>
      <w:pPr>
        <w:ind w:firstLine="480"/>
      </w:pPr>
      <w:r>
        <w:rPr>
          <w:rFonts w:hint="eastAsia"/>
          <w:lang w:val="en-US" w:eastAsia="zh-CN"/>
        </w:rPr>
        <w:t>8</w:t>
      </w:r>
      <w:r>
        <w:rPr>
          <w:rFonts w:hint="eastAsia"/>
        </w:rPr>
        <w:t>.工作现场保持良好的卫生环境，工具和设备摆放整齐有序，废弃物要及时打扫，环境没有灰尘，保持现场整洁。</w:t>
      </w:r>
    </w:p>
    <w:p>
      <w:pPr>
        <w:ind w:firstLine="480"/>
      </w:pPr>
      <w:r>
        <w:rPr>
          <w:rFonts w:hint="eastAsia"/>
          <w:lang w:val="en-US" w:eastAsia="zh-CN"/>
        </w:rPr>
        <w:t>9</w:t>
      </w:r>
      <w:r>
        <w:rPr>
          <w:rFonts w:hint="eastAsia"/>
        </w:rPr>
        <w:t>.按照要求及时做好各项文件的保存。如果发现设备工作过热出现不正常的运行情况时，应立即切断电源。</w:t>
      </w:r>
    </w:p>
    <w:p>
      <w:pPr>
        <w:ind w:firstLine="480"/>
      </w:pPr>
      <w:r>
        <w:rPr>
          <w:rFonts w:hint="eastAsia"/>
        </w:rPr>
        <w:t>1</w:t>
      </w:r>
      <w:r>
        <w:rPr>
          <w:rFonts w:hint="eastAsia"/>
          <w:lang w:val="en-US" w:eastAsia="zh-CN"/>
        </w:rPr>
        <w:t>0</w:t>
      </w:r>
      <w:r>
        <w:rPr>
          <w:rFonts w:hint="eastAsia"/>
        </w:rPr>
        <w:t>.选手严禁使用任何移动存储设备，严禁拆解比赛设施，严禁删除竞赛设备中的软件，严禁在竞赛设备上随意添加管理权限和登录密码。</w:t>
      </w:r>
    </w:p>
    <w:p>
      <w:pPr>
        <w:pStyle w:val="5"/>
        <w:spacing w:before="156"/>
        <w:ind w:firstLine="602"/>
        <w:rPr>
          <w:rFonts w:ascii="黑体" w:hAnsi="黑体" w:cs="黑体"/>
          <w:b/>
          <w:bCs/>
          <w:szCs w:val="30"/>
        </w:rPr>
      </w:pPr>
      <w:r>
        <w:rPr>
          <w:rFonts w:hint="eastAsia" w:ascii="黑体" w:hAnsi="黑体" w:cs="黑体"/>
          <w:b/>
          <w:bCs/>
          <w:szCs w:val="30"/>
        </w:rPr>
        <w:t>八、开放赛场</w:t>
      </w:r>
    </w:p>
    <w:p>
      <w:pPr>
        <w:ind w:firstLine="480"/>
      </w:pPr>
      <w:r>
        <w:rPr>
          <w:rFonts w:hint="eastAsia"/>
        </w:rPr>
        <w:t>1.比赛承办方应在不影响选手比赛和裁判员工作的前提下提供开放式场地供参观者观摩。</w:t>
      </w:r>
    </w:p>
    <w:p>
      <w:pPr>
        <w:ind w:firstLine="480"/>
      </w:pPr>
      <w:r>
        <w:rPr>
          <w:rFonts w:hint="eastAsia"/>
        </w:rPr>
        <w:t>2.比赛承办方应积极做好竞赛的宣传工作。</w:t>
      </w:r>
    </w:p>
    <w:p>
      <w:pPr>
        <w:ind w:firstLine="480"/>
      </w:pPr>
      <w:r>
        <w:rPr>
          <w:rFonts w:hint="eastAsia"/>
        </w:rPr>
        <w:t>3.参观人员需经过登记审核、安检和检查携带的物品后方可进入赛场。</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w:fldChar w:fldCharType="begin"/>
    </w:r>
    <w:r>
      <w:instrText xml:space="preserve"> PAGE   \* MERGEFORMAT </w:instrText>
    </w:r>
    <w:r>
      <w:fldChar w:fldCharType="separate"/>
    </w:r>
    <w:r>
      <w:rPr>
        <w:lang w:val="zh-CN"/>
      </w:rPr>
      <w:t>11</w:t>
    </w:r>
    <w:r>
      <w:rPr>
        <w:lang w:val="zh-CN"/>
      </w:rPr>
      <w:fldChar w:fldCharType="end"/>
    </w:r>
  </w:p>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ind w:firstLine="360"/>
      <w:rPr>
        <w:rStyle w:val="18"/>
      </w:rPr>
    </w:pPr>
    <w:r>
      <w:fldChar w:fldCharType="begin"/>
    </w:r>
    <w:r>
      <w:rPr>
        <w:rStyle w:val="18"/>
      </w:rPr>
      <w:instrText xml:space="preserve">PAGE  </w:instrText>
    </w:r>
    <w:r>
      <w:fldChar w:fldCharType="end"/>
    </w:r>
  </w:p>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380E9C"/>
    <w:rsid w:val="00001537"/>
    <w:rsid w:val="0000296F"/>
    <w:rsid w:val="00006681"/>
    <w:rsid w:val="000075C2"/>
    <w:rsid w:val="000128AD"/>
    <w:rsid w:val="000130ED"/>
    <w:rsid w:val="00013BA6"/>
    <w:rsid w:val="00015F2F"/>
    <w:rsid w:val="0001604D"/>
    <w:rsid w:val="00024CB9"/>
    <w:rsid w:val="00024E49"/>
    <w:rsid w:val="0002616B"/>
    <w:rsid w:val="000279CD"/>
    <w:rsid w:val="00030DE9"/>
    <w:rsid w:val="00037A51"/>
    <w:rsid w:val="00042806"/>
    <w:rsid w:val="00044326"/>
    <w:rsid w:val="00046A4B"/>
    <w:rsid w:val="00050BC1"/>
    <w:rsid w:val="00050CD1"/>
    <w:rsid w:val="00054523"/>
    <w:rsid w:val="0005473C"/>
    <w:rsid w:val="000549CB"/>
    <w:rsid w:val="00055C49"/>
    <w:rsid w:val="000562B0"/>
    <w:rsid w:val="0006125F"/>
    <w:rsid w:val="00062EA2"/>
    <w:rsid w:val="000643FA"/>
    <w:rsid w:val="00065128"/>
    <w:rsid w:val="0006704B"/>
    <w:rsid w:val="0006777A"/>
    <w:rsid w:val="00071679"/>
    <w:rsid w:val="00075738"/>
    <w:rsid w:val="00075E9F"/>
    <w:rsid w:val="00076BE9"/>
    <w:rsid w:val="000779DC"/>
    <w:rsid w:val="00077E9B"/>
    <w:rsid w:val="00081F1A"/>
    <w:rsid w:val="00086EA7"/>
    <w:rsid w:val="0008709C"/>
    <w:rsid w:val="0009040F"/>
    <w:rsid w:val="00091CA2"/>
    <w:rsid w:val="00092339"/>
    <w:rsid w:val="00094227"/>
    <w:rsid w:val="00095B6F"/>
    <w:rsid w:val="00097167"/>
    <w:rsid w:val="000A2463"/>
    <w:rsid w:val="000A4B8F"/>
    <w:rsid w:val="000B14BA"/>
    <w:rsid w:val="000B201A"/>
    <w:rsid w:val="000B3E6B"/>
    <w:rsid w:val="000B4019"/>
    <w:rsid w:val="000C0805"/>
    <w:rsid w:val="000C3F87"/>
    <w:rsid w:val="000D7152"/>
    <w:rsid w:val="000E38AD"/>
    <w:rsid w:val="000F25C6"/>
    <w:rsid w:val="000F523E"/>
    <w:rsid w:val="000F796A"/>
    <w:rsid w:val="001000A1"/>
    <w:rsid w:val="0010063F"/>
    <w:rsid w:val="00101175"/>
    <w:rsid w:val="001016F8"/>
    <w:rsid w:val="00101FB3"/>
    <w:rsid w:val="00104C2F"/>
    <w:rsid w:val="001068B6"/>
    <w:rsid w:val="00106D4A"/>
    <w:rsid w:val="001132A6"/>
    <w:rsid w:val="0011485E"/>
    <w:rsid w:val="001156E5"/>
    <w:rsid w:val="00115B9B"/>
    <w:rsid w:val="00116777"/>
    <w:rsid w:val="00117EE3"/>
    <w:rsid w:val="00120810"/>
    <w:rsid w:val="001211AD"/>
    <w:rsid w:val="00121CA3"/>
    <w:rsid w:val="001241F4"/>
    <w:rsid w:val="001252AC"/>
    <w:rsid w:val="0012537A"/>
    <w:rsid w:val="001267AA"/>
    <w:rsid w:val="001267F0"/>
    <w:rsid w:val="00126DDF"/>
    <w:rsid w:val="0012723D"/>
    <w:rsid w:val="00132C45"/>
    <w:rsid w:val="0013335B"/>
    <w:rsid w:val="00134160"/>
    <w:rsid w:val="001355CF"/>
    <w:rsid w:val="00150EDB"/>
    <w:rsid w:val="00150F85"/>
    <w:rsid w:val="0015352C"/>
    <w:rsid w:val="00181089"/>
    <w:rsid w:val="00181DE1"/>
    <w:rsid w:val="00183704"/>
    <w:rsid w:val="001840C3"/>
    <w:rsid w:val="00184F69"/>
    <w:rsid w:val="00187765"/>
    <w:rsid w:val="00190407"/>
    <w:rsid w:val="001904B2"/>
    <w:rsid w:val="001905D6"/>
    <w:rsid w:val="00195726"/>
    <w:rsid w:val="00196E99"/>
    <w:rsid w:val="00197F26"/>
    <w:rsid w:val="001A6269"/>
    <w:rsid w:val="001A7BDC"/>
    <w:rsid w:val="001B1EE5"/>
    <w:rsid w:val="001B5AF0"/>
    <w:rsid w:val="001B7DD8"/>
    <w:rsid w:val="001C13DB"/>
    <w:rsid w:val="001C146C"/>
    <w:rsid w:val="001C1C32"/>
    <w:rsid w:val="001D06A6"/>
    <w:rsid w:val="001D1D66"/>
    <w:rsid w:val="001D335A"/>
    <w:rsid w:val="001D7878"/>
    <w:rsid w:val="001E1057"/>
    <w:rsid w:val="001E2DFC"/>
    <w:rsid w:val="001E3513"/>
    <w:rsid w:val="001E6417"/>
    <w:rsid w:val="001E65D1"/>
    <w:rsid w:val="001F017E"/>
    <w:rsid w:val="001F3D19"/>
    <w:rsid w:val="001F4BD0"/>
    <w:rsid w:val="001F5563"/>
    <w:rsid w:val="001F63A3"/>
    <w:rsid w:val="001F6EDE"/>
    <w:rsid w:val="001F74D8"/>
    <w:rsid w:val="00204789"/>
    <w:rsid w:val="00204963"/>
    <w:rsid w:val="00212132"/>
    <w:rsid w:val="0021672E"/>
    <w:rsid w:val="00221CC9"/>
    <w:rsid w:val="00222FB9"/>
    <w:rsid w:val="002300D2"/>
    <w:rsid w:val="0023095F"/>
    <w:rsid w:val="00231F80"/>
    <w:rsid w:val="002336F0"/>
    <w:rsid w:val="002372A0"/>
    <w:rsid w:val="00237A38"/>
    <w:rsid w:val="00246A0D"/>
    <w:rsid w:val="00246CEE"/>
    <w:rsid w:val="00251927"/>
    <w:rsid w:val="00252337"/>
    <w:rsid w:val="0025433E"/>
    <w:rsid w:val="00254D1F"/>
    <w:rsid w:val="0025575C"/>
    <w:rsid w:val="00255C68"/>
    <w:rsid w:val="00257DEA"/>
    <w:rsid w:val="002634AF"/>
    <w:rsid w:val="00264C7F"/>
    <w:rsid w:val="00264D31"/>
    <w:rsid w:val="00265E32"/>
    <w:rsid w:val="00266095"/>
    <w:rsid w:val="00273664"/>
    <w:rsid w:val="00273D88"/>
    <w:rsid w:val="00274356"/>
    <w:rsid w:val="00274DC8"/>
    <w:rsid w:val="002806DF"/>
    <w:rsid w:val="0028243D"/>
    <w:rsid w:val="00283A30"/>
    <w:rsid w:val="00287972"/>
    <w:rsid w:val="002921C9"/>
    <w:rsid w:val="00293C88"/>
    <w:rsid w:val="0029623A"/>
    <w:rsid w:val="00296825"/>
    <w:rsid w:val="002A4D1C"/>
    <w:rsid w:val="002A5AE4"/>
    <w:rsid w:val="002B0FE6"/>
    <w:rsid w:val="002B1902"/>
    <w:rsid w:val="002B5B4B"/>
    <w:rsid w:val="002B71AC"/>
    <w:rsid w:val="002C302A"/>
    <w:rsid w:val="002C5573"/>
    <w:rsid w:val="002C55C2"/>
    <w:rsid w:val="002D4C06"/>
    <w:rsid w:val="002D5CDF"/>
    <w:rsid w:val="002E013A"/>
    <w:rsid w:val="002E0F14"/>
    <w:rsid w:val="002E2018"/>
    <w:rsid w:val="002E323A"/>
    <w:rsid w:val="002E333D"/>
    <w:rsid w:val="002E5EEE"/>
    <w:rsid w:val="002E7168"/>
    <w:rsid w:val="002F0619"/>
    <w:rsid w:val="002F2483"/>
    <w:rsid w:val="002F319C"/>
    <w:rsid w:val="002F626C"/>
    <w:rsid w:val="00303A8B"/>
    <w:rsid w:val="00307F9B"/>
    <w:rsid w:val="00311880"/>
    <w:rsid w:val="00312B2A"/>
    <w:rsid w:val="00313C4D"/>
    <w:rsid w:val="0031726A"/>
    <w:rsid w:val="003210D6"/>
    <w:rsid w:val="0032319A"/>
    <w:rsid w:val="00324E5A"/>
    <w:rsid w:val="00330F36"/>
    <w:rsid w:val="003334E8"/>
    <w:rsid w:val="00333915"/>
    <w:rsid w:val="00333D7B"/>
    <w:rsid w:val="00334760"/>
    <w:rsid w:val="00334E26"/>
    <w:rsid w:val="00345A88"/>
    <w:rsid w:val="00345BB0"/>
    <w:rsid w:val="00353866"/>
    <w:rsid w:val="0035663F"/>
    <w:rsid w:val="003620CA"/>
    <w:rsid w:val="00364A61"/>
    <w:rsid w:val="00366B52"/>
    <w:rsid w:val="00367CB0"/>
    <w:rsid w:val="0037693B"/>
    <w:rsid w:val="00380E20"/>
    <w:rsid w:val="00380E9C"/>
    <w:rsid w:val="00383A31"/>
    <w:rsid w:val="00384917"/>
    <w:rsid w:val="00387A0A"/>
    <w:rsid w:val="00390262"/>
    <w:rsid w:val="003922A5"/>
    <w:rsid w:val="00395824"/>
    <w:rsid w:val="00396D3B"/>
    <w:rsid w:val="003A0082"/>
    <w:rsid w:val="003A515A"/>
    <w:rsid w:val="003B166B"/>
    <w:rsid w:val="003B1BDC"/>
    <w:rsid w:val="003B6495"/>
    <w:rsid w:val="003C262A"/>
    <w:rsid w:val="003D07AB"/>
    <w:rsid w:val="003D1C42"/>
    <w:rsid w:val="003D3CA7"/>
    <w:rsid w:val="003D7B37"/>
    <w:rsid w:val="003E08CA"/>
    <w:rsid w:val="003E0D72"/>
    <w:rsid w:val="003E0FD9"/>
    <w:rsid w:val="003E13C0"/>
    <w:rsid w:val="003E3532"/>
    <w:rsid w:val="003E3BBC"/>
    <w:rsid w:val="003E40DD"/>
    <w:rsid w:val="003F2F5A"/>
    <w:rsid w:val="003F41FD"/>
    <w:rsid w:val="003F488F"/>
    <w:rsid w:val="0040072C"/>
    <w:rsid w:val="004014B7"/>
    <w:rsid w:val="00402838"/>
    <w:rsid w:val="004034B8"/>
    <w:rsid w:val="004065D3"/>
    <w:rsid w:val="00407A96"/>
    <w:rsid w:val="00412B43"/>
    <w:rsid w:val="00413C92"/>
    <w:rsid w:val="00413E2B"/>
    <w:rsid w:val="00420B61"/>
    <w:rsid w:val="00432DB7"/>
    <w:rsid w:val="00436A1B"/>
    <w:rsid w:val="0044493C"/>
    <w:rsid w:val="00444E24"/>
    <w:rsid w:val="0044557A"/>
    <w:rsid w:val="00453591"/>
    <w:rsid w:val="00455EDC"/>
    <w:rsid w:val="004575BA"/>
    <w:rsid w:val="004607DC"/>
    <w:rsid w:val="00460FAA"/>
    <w:rsid w:val="0046179C"/>
    <w:rsid w:val="004620E0"/>
    <w:rsid w:val="00462D35"/>
    <w:rsid w:val="00462EFC"/>
    <w:rsid w:val="00466C45"/>
    <w:rsid w:val="00467CA1"/>
    <w:rsid w:val="00470ACE"/>
    <w:rsid w:val="004739D4"/>
    <w:rsid w:val="00474222"/>
    <w:rsid w:val="00475DA1"/>
    <w:rsid w:val="00482177"/>
    <w:rsid w:val="004825B6"/>
    <w:rsid w:val="00483351"/>
    <w:rsid w:val="00483471"/>
    <w:rsid w:val="004864D1"/>
    <w:rsid w:val="0048661C"/>
    <w:rsid w:val="004878FA"/>
    <w:rsid w:val="00487A7F"/>
    <w:rsid w:val="004A1FE2"/>
    <w:rsid w:val="004A462D"/>
    <w:rsid w:val="004A4DFA"/>
    <w:rsid w:val="004B15C9"/>
    <w:rsid w:val="004B1A0C"/>
    <w:rsid w:val="004B20E4"/>
    <w:rsid w:val="004C0382"/>
    <w:rsid w:val="004C10C7"/>
    <w:rsid w:val="004C3E45"/>
    <w:rsid w:val="004D17A1"/>
    <w:rsid w:val="004D5DBE"/>
    <w:rsid w:val="004E345F"/>
    <w:rsid w:val="004E4BA8"/>
    <w:rsid w:val="004E5A0E"/>
    <w:rsid w:val="004E5B6C"/>
    <w:rsid w:val="004E6562"/>
    <w:rsid w:val="004F0950"/>
    <w:rsid w:val="004F30A3"/>
    <w:rsid w:val="004F319A"/>
    <w:rsid w:val="004F617D"/>
    <w:rsid w:val="005007DF"/>
    <w:rsid w:val="005023EE"/>
    <w:rsid w:val="00502806"/>
    <w:rsid w:val="00511ACD"/>
    <w:rsid w:val="00511C21"/>
    <w:rsid w:val="005152C3"/>
    <w:rsid w:val="00515C57"/>
    <w:rsid w:val="00515E1E"/>
    <w:rsid w:val="00516046"/>
    <w:rsid w:val="0051764A"/>
    <w:rsid w:val="00517D4B"/>
    <w:rsid w:val="005206EB"/>
    <w:rsid w:val="00524112"/>
    <w:rsid w:val="00525F4B"/>
    <w:rsid w:val="005313B1"/>
    <w:rsid w:val="005335B8"/>
    <w:rsid w:val="00534B4E"/>
    <w:rsid w:val="00540EA5"/>
    <w:rsid w:val="00541258"/>
    <w:rsid w:val="0054236C"/>
    <w:rsid w:val="00546181"/>
    <w:rsid w:val="00555D6B"/>
    <w:rsid w:val="00562389"/>
    <w:rsid w:val="005644E1"/>
    <w:rsid w:val="0056774A"/>
    <w:rsid w:val="00570CE2"/>
    <w:rsid w:val="00571961"/>
    <w:rsid w:val="0057485C"/>
    <w:rsid w:val="00576593"/>
    <w:rsid w:val="005770C9"/>
    <w:rsid w:val="00584536"/>
    <w:rsid w:val="00587F15"/>
    <w:rsid w:val="00590B9C"/>
    <w:rsid w:val="005912F0"/>
    <w:rsid w:val="00595269"/>
    <w:rsid w:val="00595D21"/>
    <w:rsid w:val="00596509"/>
    <w:rsid w:val="005A0B80"/>
    <w:rsid w:val="005A1033"/>
    <w:rsid w:val="005A1BB9"/>
    <w:rsid w:val="005A2423"/>
    <w:rsid w:val="005A257E"/>
    <w:rsid w:val="005A3A59"/>
    <w:rsid w:val="005A3A6B"/>
    <w:rsid w:val="005A7F11"/>
    <w:rsid w:val="005B0522"/>
    <w:rsid w:val="005B0C07"/>
    <w:rsid w:val="005B214B"/>
    <w:rsid w:val="005B22DB"/>
    <w:rsid w:val="005C10B6"/>
    <w:rsid w:val="005C279A"/>
    <w:rsid w:val="005C4546"/>
    <w:rsid w:val="005C51B0"/>
    <w:rsid w:val="005C60C6"/>
    <w:rsid w:val="005C7D1C"/>
    <w:rsid w:val="005D55AD"/>
    <w:rsid w:val="005D713F"/>
    <w:rsid w:val="005D72BB"/>
    <w:rsid w:val="005D7DFB"/>
    <w:rsid w:val="005E43E3"/>
    <w:rsid w:val="005E4A52"/>
    <w:rsid w:val="005E4F7B"/>
    <w:rsid w:val="005E5ECA"/>
    <w:rsid w:val="005E61C8"/>
    <w:rsid w:val="005E7D15"/>
    <w:rsid w:val="005F3694"/>
    <w:rsid w:val="005F4655"/>
    <w:rsid w:val="006031ED"/>
    <w:rsid w:val="006032CE"/>
    <w:rsid w:val="00604099"/>
    <w:rsid w:val="00604ABA"/>
    <w:rsid w:val="0060612E"/>
    <w:rsid w:val="006069C2"/>
    <w:rsid w:val="00610447"/>
    <w:rsid w:val="00611DF5"/>
    <w:rsid w:val="0061624A"/>
    <w:rsid w:val="0062223E"/>
    <w:rsid w:val="00623E18"/>
    <w:rsid w:val="0062575D"/>
    <w:rsid w:val="00631B29"/>
    <w:rsid w:val="006339EE"/>
    <w:rsid w:val="00635256"/>
    <w:rsid w:val="00636127"/>
    <w:rsid w:val="00636445"/>
    <w:rsid w:val="006419FA"/>
    <w:rsid w:val="0064545A"/>
    <w:rsid w:val="00645781"/>
    <w:rsid w:val="00647B3B"/>
    <w:rsid w:val="0065310A"/>
    <w:rsid w:val="006542F0"/>
    <w:rsid w:val="006556A6"/>
    <w:rsid w:val="0066140F"/>
    <w:rsid w:val="00662D39"/>
    <w:rsid w:val="00663B1F"/>
    <w:rsid w:val="006704C1"/>
    <w:rsid w:val="006732AF"/>
    <w:rsid w:val="00674487"/>
    <w:rsid w:val="00674855"/>
    <w:rsid w:val="00675206"/>
    <w:rsid w:val="00690D29"/>
    <w:rsid w:val="00690D78"/>
    <w:rsid w:val="00691CB2"/>
    <w:rsid w:val="006920F0"/>
    <w:rsid w:val="0069389E"/>
    <w:rsid w:val="006945C3"/>
    <w:rsid w:val="00695314"/>
    <w:rsid w:val="00696594"/>
    <w:rsid w:val="006A00A3"/>
    <w:rsid w:val="006A10F3"/>
    <w:rsid w:val="006A164D"/>
    <w:rsid w:val="006B092C"/>
    <w:rsid w:val="006B16FD"/>
    <w:rsid w:val="006B6035"/>
    <w:rsid w:val="006C0B58"/>
    <w:rsid w:val="006C4312"/>
    <w:rsid w:val="006C4DAB"/>
    <w:rsid w:val="006C7149"/>
    <w:rsid w:val="006D4A8B"/>
    <w:rsid w:val="006D7D24"/>
    <w:rsid w:val="006E0198"/>
    <w:rsid w:val="006E10AD"/>
    <w:rsid w:val="006E2F1F"/>
    <w:rsid w:val="006E5195"/>
    <w:rsid w:val="006E7289"/>
    <w:rsid w:val="006F008F"/>
    <w:rsid w:val="006F2647"/>
    <w:rsid w:val="006F2A7E"/>
    <w:rsid w:val="006F51F6"/>
    <w:rsid w:val="00700EA0"/>
    <w:rsid w:val="00701307"/>
    <w:rsid w:val="00705ADB"/>
    <w:rsid w:val="00706C50"/>
    <w:rsid w:val="00710E4D"/>
    <w:rsid w:val="00712B5C"/>
    <w:rsid w:val="00713411"/>
    <w:rsid w:val="007154C3"/>
    <w:rsid w:val="007170CA"/>
    <w:rsid w:val="00720101"/>
    <w:rsid w:val="00720FC3"/>
    <w:rsid w:val="00723253"/>
    <w:rsid w:val="007238E8"/>
    <w:rsid w:val="00723CDC"/>
    <w:rsid w:val="00724C27"/>
    <w:rsid w:val="007302ED"/>
    <w:rsid w:val="0073162D"/>
    <w:rsid w:val="0073306F"/>
    <w:rsid w:val="00735927"/>
    <w:rsid w:val="00736989"/>
    <w:rsid w:val="007378DA"/>
    <w:rsid w:val="007419FF"/>
    <w:rsid w:val="0074287E"/>
    <w:rsid w:val="00742BAF"/>
    <w:rsid w:val="00744390"/>
    <w:rsid w:val="00745580"/>
    <w:rsid w:val="00753475"/>
    <w:rsid w:val="00754782"/>
    <w:rsid w:val="00755297"/>
    <w:rsid w:val="00761226"/>
    <w:rsid w:val="00761991"/>
    <w:rsid w:val="00762773"/>
    <w:rsid w:val="00762A9F"/>
    <w:rsid w:val="007637BA"/>
    <w:rsid w:val="00767FC0"/>
    <w:rsid w:val="00771BA4"/>
    <w:rsid w:val="007724B9"/>
    <w:rsid w:val="007739DA"/>
    <w:rsid w:val="00776A71"/>
    <w:rsid w:val="007774B5"/>
    <w:rsid w:val="007810BF"/>
    <w:rsid w:val="00782C53"/>
    <w:rsid w:val="00784176"/>
    <w:rsid w:val="00784702"/>
    <w:rsid w:val="00790DD3"/>
    <w:rsid w:val="00791AC2"/>
    <w:rsid w:val="00791B05"/>
    <w:rsid w:val="00793318"/>
    <w:rsid w:val="007968DA"/>
    <w:rsid w:val="00797E17"/>
    <w:rsid w:val="00797F68"/>
    <w:rsid w:val="007B328A"/>
    <w:rsid w:val="007B33D6"/>
    <w:rsid w:val="007C1C92"/>
    <w:rsid w:val="007C5A02"/>
    <w:rsid w:val="007C6D3C"/>
    <w:rsid w:val="007D4161"/>
    <w:rsid w:val="007D4748"/>
    <w:rsid w:val="007D6620"/>
    <w:rsid w:val="007E00DD"/>
    <w:rsid w:val="007E1025"/>
    <w:rsid w:val="007E1C54"/>
    <w:rsid w:val="007E2CEE"/>
    <w:rsid w:val="007E68D1"/>
    <w:rsid w:val="007F014D"/>
    <w:rsid w:val="007F09DE"/>
    <w:rsid w:val="007F4315"/>
    <w:rsid w:val="007F4E9F"/>
    <w:rsid w:val="00802A50"/>
    <w:rsid w:val="008033E7"/>
    <w:rsid w:val="00803C14"/>
    <w:rsid w:val="008051D0"/>
    <w:rsid w:val="00807DD1"/>
    <w:rsid w:val="00813E4B"/>
    <w:rsid w:val="0081660B"/>
    <w:rsid w:val="0081794F"/>
    <w:rsid w:val="00821DAD"/>
    <w:rsid w:val="008245D8"/>
    <w:rsid w:val="0082501F"/>
    <w:rsid w:val="00826695"/>
    <w:rsid w:val="008279DE"/>
    <w:rsid w:val="00827A52"/>
    <w:rsid w:val="00827EC7"/>
    <w:rsid w:val="008373AE"/>
    <w:rsid w:val="0084189D"/>
    <w:rsid w:val="008424F6"/>
    <w:rsid w:val="00842B16"/>
    <w:rsid w:val="00843619"/>
    <w:rsid w:val="008437E4"/>
    <w:rsid w:val="00850D68"/>
    <w:rsid w:val="00850D7C"/>
    <w:rsid w:val="00851DDF"/>
    <w:rsid w:val="00853FB2"/>
    <w:rsid w:val="00860866"/>
    <w:rsid w:val="008626D9"/>
    <w:rsid w:val="00863F38"/>
    <w:rsid w:val="00864241"/>
    <w:rsid w:val="00866A6B"/>
    <w:rsid w:val="00867F33"/>
    <w:rsid w:val="00867F97"/>
    <w:rsid w:val="00871E85"/>
    <w:rsid w:val="00871F7A"/>
    <w:rsid w:val="00873C3C"/>
    <w:rsid w:val="0087437F"/>
    <w:rsid w:val="00874B97"/>
    <w:rsid w:val="00885986"/>
    <w:rsid w:val="008864E1"/>
    <w:rsid w:val="00895CE2"/>
    <w:rsid w:val="00896133"/>
    <w:rsid w:val="008B14FE"/>
    <w:rsid w:val="008B5EE6"/>
    <w:rsid w:val="008C1B56"/>
    <w:rsid w:val="008C304C"/>
    <w:rsid w:val="008C5171"/>
    <w:rsid w:val="008C72F6"/>
    <w:rsid w:val="008D4883"/>
    <w:rsid w:val="008D6D3A"/>
    <w:rsid w:val="008E2A97"/>
    <w:rsid w:val="008E3676"/>
    <w:rsid w:val="008F0AA3"/>
    <w:rsid w:val="008F19E1"/>
    <w:rsid w:val="008F54F1"/>
    <w:rsid w:val="008F6207"/>
    <w:rsid w:val="008F6E44"/>
    <w:rsid w:val="009002EB"/>
    <w:rsid w:val="00901AF8"/>
    <w:rsid w:val="00905A12"/>
    <w:rsid w:val="00906D66"/>
    <w:rsid w:val="00910D69"/>
    <w:rsid w:val="009113A0"/>
    <w:rsid w:val="00913CFD"/>
    <w:rsid w:val="00920B0E"/>
    <w:rsid w:val="00922282"/>
    <w:rsid w:val="00922311"/>
    <w:rsid w:val="00923BD6"/>
    <w:rsid w:val="0092481E"/>
    <w:rsid w:val="00926DCE"/>
    <w:rsid w:val="00927255"/>
    <w:rsid w:val="00927514"/>
    <w:rsid w:val="009318CE"/>
    <w:rsid w:val="00936A6E"/>
    <w:rsid w:val="00937ACF"/>
    <w:rsid w:val="00941754"/>
    <w:rsid w:val="009445B0"/>
    <w:rsid w:val="00946013"/>
    <w:rsid w:val="00947028"/>
    <w:rsid w:val="00953BA4"/>
    <w:rsid w:val="00953CCA"/>
    <w:rsid w:val="00956FDC"/>
    <w:rsid w:val="0096022E"/>
    <w:rsid w:val="00962F2D"/>
    <w:rsid w:val="00965C56"/>
    <w:rsid w:val="00974671"/>
    <w:rsid w:val="009808EC"/>
    <w:rsid w:val="0098243E"/>
    <w:rsid w:val="009837CB"/>
    <w:rsid w:val="00983D09"/>
    <w:rsid w:val="0099054D"/>
    <w:rsid w:val="00996A5A"/>
    <w:rsid w:val="009A17CD"/>
    <w:rsid w:val="009A1BA0"/>
    <w:rsid w:val="009A22DC"/>
    <w:rsid w:val="009A4C7A"/>
    <w:rsid w:val="009A5C45"/>
    <w:rsid w:val="009B02CE"/>
    <w:rsid w:val="009B2780"/>
    <w:rsid w:val="009B28FA"/>
    <w:rsid w:val="009B349B"/>
    <w:rsid w:val="009B76B6"/>
    <w:rsid w:val="009C571E"/>
    <w:rsid w:val="009D0554"/>
    <w:rsid w:val="009D0E15"/>
    <w:rsid w:val="009D2385"/>
    <w:rsid w:val="009F0A9C"/>
    <w:rsid w:val="009F1275"/>
    <w:rsid w:val="009F2431"/>
    <w:rsid w:val="009F2C43"/>
    <w:rsid w:val="009F7B2B"/>
    <w:rsid w:val="00A01195"/>
    <w:rsid w:val="00A017B2"/>
    <w:rsid w:val="00A01B90"/>
    <w:rsid w:val="00A0277E"/>
    <w:rsid w:val="00A0296A"/>
    <w:rsid w:val="00A03479"/>
    <w:rsid w:val="00A06835"/>
    <w:rsid w:val="00A10269"/>
    <w:rsid w:val="00A10FE2"/>
    <w:rsid w:val="00A229D0"/>
    <w:rsid w:val="00A27F95"/>
    <w:rsid w:val="00A34148"/>
    <w:rsid w:val="00A362F0"/>
    <w:rsid w:val="00A4055F"/>
    <w:rsid w:val="00A40E5F"/>
    <w:rsid w:val="00A42FC7"/>
    <w:rsid w:val="00A4372A"/>
    <w:rsid w:val="00A4512B"/>
    <w:rsid w:val="00A50F2F"/>
    <w:rsid w:val="00A538DB"/>
    <w:rsid w:val="00A665AD"/>
    <w:rsid w:val="00A70239"/>
    <w:rsid w:val="00A70A32"/>
    <w:rsid w:val="00A75D6F"/>
    <w:rsid w:val="00A7790C"/>
    <w:rsid w:val="00A77ACF"/>
    <w:rsid w:val="00A801FA"/>
    <w:rsid w:val="00A8100C"/>
    <w:rsid w:val="00A84AC8"/>
    <w:rsid w:val="00A860D5"/>
    <w:rsid w:val="00A874FA"/>
    <w:rsid w:val="00A90619"/>
    <w:rsid w:val="00A96A25"/>
    <w:rsid w:val="00AA0F3C"/>
    <w:rsid w:val="00AB69CB"/>
    <w:rsid w:val="00AC37D6"/>
    <w:rsid w:val="00AD02C3"/>
    <w:rsid w:val="00AD0889"/>
    <w:rsid w:val="00AD1FB7"/>
    <w:rsid w:val="00AD2C0A"/>
    <w:rsid w:val="00AD4454"/>
    <w:rsid w:val="00AD649A"/>
    <w:rsid w:val="00AD6834"/>
    <w:rsid w:val="00AD777F"/>
    <w:rsid w:val="00AD7BDC"/>
    <w:rsid w:val="00AE541F"/>
    <w:rsid w:val="00AF08E2"/>
    <w:rsid w:val="00AF2727"/>
    <w:rsid w:val="00AF4122"/>
    <w:rsid w:val="00AF7A52"/>
    <w:rsid w:val="00AF7D04"/>
    <w:rsid w:val="00B05309"/>
    <w:rsid w:val="00B071CC"/>
    <w:rsid w:val="00B07C43"/>
    <w:rsid w:val="00B11312"/>
    <w:rsid w:val="00B17824"/>
    <w:rsid w:val="00B179C3"/>
    <w:rsid w:val="00B17E76"/>
    <w:rsid w:val="00B22071"/>
    <w:rsid w:val="00B23503"/>
    <w:rsid w:val="00B310DA"/>
    <w:rsid w:val="00B31DD5"/>
    <w:rsid w:val="00B32DDC"/>
    <w:rsid w:val="00B34305"/>
    <w:rsid w:val="00B35AB3"/>
    <w:rsid w:val="00B3785D"/>
    <w:rsid w:val="00B4237B"/>
    <w:rsid w:val="00B511B5"/>
    <w:rsid w:val="00B54B2E"/>
    <w:rsid w:val="00B62E54"/>
    <w:rsid w:val="00B63256"/>
    <w:rsid w:val="00B632E8"/>
    <w:rsid w:val="00B6420E"/>
    <w:rsid w:val="00B66E5C"/>
    <w:rsid w:val="00B7263F"/>
    <w:rsid w:val="00B73B5B"/>
    <w:rsid w:val="00B753FD"/>
    <w:rsid w:val="00B75571"/>
    <w:rsid w:val="00B75B91"/>
    <w:rsid w:val="00B816C1"/>
    <w:rsid w:val="00B862E3"/>
    <w:rsid w:val="00B86E28"/>
    <w:rsid w:val="00B90B74"/>
    <w:rsid w:val="00B93C18"/>
    <w:rsid w:val="00B94F33"/>
    <w:rsid w:val="00B968D3"/>
    <w:rsid w:val="00BA2105"/>
    <w:rsid w:val="00BA6A58"/>
    <w:rsid w:val="00BA6B81"/>
    <w:rsid w:val="00BB0ABC"/>
    <w:rsid w:val="00BB20D5"/>
    <w:rsid w:val="00BB3EAF"/>
    <w:rsid w:val="00BB52C0"/>
    <w:rsid w:val="00BB64A7"/>
    <w:rsid w:val="00BC4CED"/>
    <w:rsid w:val="00BD0E0D"/>
    <w:rsid w:val="00BD2612"/>
    <w:rsid w:val="00BD2715"/>
    <w:rsid w:val="00BD43D7"/>
    <w:rsid w:val="00BD737A"/>
    <w:rsid w:val="00BE0B65"/>
    <w:rsid w:val="00BE1CBC"/>
    <w:rsid w:val="00BE21FA"/>
    <w:rsid w:val="00BE4530"/>
    <w:rsid w:val="00BE4893"/>
    <w:rsid w:val="00BE53AB"/>
    <w:rsid w:val="00BE6FB0"/>
    <w:rsid w:val="00BE73D8"/>
    <w:rsid w:val="00BF7875"/>
    <w:rsid w:val="00BF7AB1"/>
    <w:rsid w:val="00C03557"/>
    <w:rsid w:val="00C037CF"/>
    <w:rsid w:val="00C04F2D"/>
    <w:rsid w:val="00C10208"/>
    <w:rsid w:val="00C158C4"/>
    <w:rsid w:val="00C164E3"/>
    <w:rsid w:val="00C17269"/>
    <w:rsid w:val="00C17DD3"/>
    <w:rsid w:val="00C2249C"/>
    <w:rsid w:val="00C24EEA"/>
    <w:rsid w:val="00C269D8"/>
    <w:rsid w:val="00C31647"/>
    <w:rsid w:val="00C32AB0"/>
    <w:rsid w:val="00C3306B"/>
    <w:rsid w:val="00C337E1"/>
    <w:rsid w:val="00C34D64"/>
    <w:rsid w:val="00C35CA4"/>
    <w:rsid w:val="00C3737A"/>
    <w:rsid w:val="00C418F7"/>
    <w:rsid w:val="00C4227D"/>
    <w:rsid w:val="00C44138"/>
    <w:rsid w:val="00C47AEB"/>
    <w:rsid w:val="00C47C30"/>
    <w:rsid w:val="00C50D06"/>
    <w:rsid w:val="00C52CA3"/>
    <w:rsid w:val="00C54B8B"/>
    <w:rsid w:val="00C551A6"/>
    <w:rsid w:val="00C55827"/>
    <w:rsid w:val="00C56A0E"/>
    <w:rsid w:val="00C56B43"/>
    <w:rsid w:val="00C56FBF"/>
    <w:rsid w:val="00C6367C"/>
    <w:rsid w:val="00C63B34"/>
    <w:rsid w:val="00C71595"/>
    <w:rsid w:val="00C7221B"/>
    <w:rsid w:val="00C726E0"/>
    <w:rsid w:val="00C7740E"/>
    <w:rsid w:val="00C82EC0"/>
    <w:rsid w:val="00C837F5"/>
    <w:rsid w:val="00C8711C"/>
    <w:rsid w:val="00C92FD0"/>
    <w:rsid w:val="00C93E82"/>
    <w:rsid w:val="00C958E8"/>
    <w:rsid w:val="00CA56CD"/>
    <w:rsid w:val="00CB1768"/>
    <w:rsid w:val="00CB1963"/>
    <w:rsid w:val="00CB2BA6"/>
    <w:rsid w:val="00CB2C40"/>
    <w:rsid w:val="00CB6830"/>
    <w:rsid w:val="00CB76D5"/>
    <w:rsid w:val="00CB7DBF"/>
    <w:rsid w:val="00CC1B64"/>
    <w:rsid w:val="00CC3925"/>
    <w:rsid w:val="00CC4230"/>
    <w:rsid w:val="00CC4EB9"/>
    <w:rsid w:val="00CC5375"/>
    <w:rsid w:val="00CC5924"/>
    <w:rsid w:val="00CC690B"/>
    <w:rsid w:val="00CD0A94"/>
    <w:rsid w:val="00CD3309"/>
    <w:rsid w:val="00CD7228"/>
    <w:rsid w:val="00CD75E4"/>
    <w:rsid w:val="00CE1EEC"/>
    <w:rsid w:val="00CE2607"/>
    <w:rsid w:val="00CE51DF"/>
    <w:rsid w:val="00CE73CC"/>
    <w:rsid w:val="00CF2F7B"/>
    <w:rsid w:val="00CF40F4"/>
    <w:rsid w:val="00CF4F6F"/>
    <w:rsid w:val="00CF5A05"/>
    <w:rsid w:val="00CF7415"/>
    <w:rsid w:val="00D01A8A"/>
    <w:rsid w:val="00D0261C"/>
    <w:rsid w:val="00D0444F"/>
    <w:rsid w:val="00D04A5E"/>
    <w:rsid w:val="00D10270"/>
    <w:rsid w:val="00D128A4"/>
    <w:rsid w:val="00D13FEC"/>
    <w:rsid w:val="00D21EDF"/>
    <w:rsid w:val="00D224C2"/>
    <w:rsid w:val="00D25040"/>
    <w:rsid w:val="00D27113"/>
    <w:rsid w:val="00D27767"/>
    <w:rsid w:val="00D34B11"/>
    <w:rsid w:val="00D40246"/>
    <w:rsid w:val="00D44774"/>
    <w:rsid w:val="00D44DC2"/>
    <w:rsid w:val="00D458A9"/>
    <w:rsid w:val="00D4650E"/>
    <w:rsid w:val="00D47858"/>
    <w:rsid w:val="00D501F7"/>
    <w:rsid w:val="00D51318"/>
    <w:rsid w:val="00D5145A"/>
    <w:rsid w:val="00D52AB8"/>
    <w:rsid w:val="00D554C2"/>
    <w:rsid w:val="00D5601E"/>
    <w:rsid w:val="00D565F0"/>
    <w:rsid w:val="00D57BF1"/>
    <w:rsid w:val="00D7071B"/>
    <w:rsid w:val="00D72F3C"/>
    <w:rsid w:val="00D74C37"/>
    <w:rsid w:val="00D76771"/>
    <w:rsid w:val="00D81ACE"/>
    <w:rsid w:val="00D84561"/>
    <w:rsid w:val="00D906C9"/>
    <w:rsid w:val="00D92329"/>
    <w:rsid w:val="00D92972"/>
    <w:rsid w:val="00D92B52"/>
    <w:rsid w:val="00D9394D"/>
    <w:rsid w:val="00D95FD4"/>
    <w:rsid w:val="00DA2E1D"/>
    <w:rsid w:val="00DA32E6"/>
    <w:rsid w:val="00DA5622"/>
    <w:rsid w:val="00DA6413"/>
    <w:rsid w:val="00DA7568"/>
    <w:rsid w:val="00DB183B"/>
    <w:rsid w:val="00DB3FDD"/>
    <w:rsid w:val="00DB4F9E"/>
    <w:rsid w:val="00DC45B7"/>
    <w:rsid w:val="00DD1D23"/>
    <w:rsid w:val="00DD5918"/>
    <w:rsid w:val="00DD6693"/>
    <w:rsid w:val="00DD70B6"/>
    <w:rsid w:val="00DE0021"/>
    <w:rsid w:val="00DE1F4D"/>
    <w:rsid w:val="00DE24DA"/>
    <w:rsid w:val="00DE59F9"/>
    <w:rsid w:val="00DF2176"/>
    <w:rsid w:val="00DF30F5"/>
    <w:rsid w:val="00DF40C3"/>
    <w:rsid w:val="00E02358"/>
    <w:rsid w:val="00E037D0"/>
    <w:rsid w:val="00E038FE"/>
    <w:rsid w:val="00E03ACD"/>
    <w:rsid w:val="00E041E9"/>
    <w:rsid w:val="00E06BA3"/>
    <w:rsid w:val="00E1108E"/>
    <w:rsid w:val="00E1136E"/>
    <w:rsid w:val="00E21A5E"/>
    <w:rsid w:val="00E22248"/>
    <w:rsid w:val="00E228F6"/>
    <w:rsid w:val="00E24AC8"/>
    <w:rsid w:val="00E401D8"/>
    <w:rsid w:val="00E41B64"/>
    <w:rsid w:val="00E41FE8"/>
    <w:rsid w:val="00E44C31"/>
    <w:rsid w:val="00E45346"/>
    <w:rsid w:val="00E4538E"/>
    <w:rsid w:val="00E456C9"/>
    <w:rsid w:val="00E500EA"/>
    <w:rsid w:val="00E53574"/>
    <w:rsid w:val="00E54009"/>
    <w:rsid w:val="00E54FD6"/>
    <w:rsid w:val="00E62373"/>
    <w:rsid w:val="00E65556"/>
    <w:rsid w:val="00E6591C"/>
    <w:rsid w:val="00E70DDB"/>
    <w:rsid w:val="00E71D25"/>
    <w:rsid w:val="00E7293E"/>
    <w:rsid w:val="00E87865"/>
    <w:rsid w:val="00E93E4D"/>
    <w:rsid w:val="00E94F22"/>
    <w:rsid w:val="00E95C40"/>
    <w:rsid w:val="00E967C3"/>
    <w:rsid w:val="00E9739E"/>
    <w:rsid w:val="00EA34C6"/>
    <w:rsid w:val="00EA3F99"/>
    <w:rsid w:val="00EA7BCA"/>
    <w:rsid w:val="00EA7D14"/>
    <w:rsid w:val="00EB0758"/>
    <w:rsid w:val="00EB095D"/>
    <w:rsid w:val="00EB11EC"/>
    <w:rsid w:val="00EB1B30"/>
    <w:rsid w:val="00EB3447"/>
    <w:rsid w:val="00EB7D59"/>
    <w:rsid w:val="00EC3441"/>
    <w:rsid w:val="00EC6BBF"/>
    <w:rsid w:val="00EC6E9D"/>
    <w:rsid w:val="00ED2C5D"/>
    <w:rsid w:val="00ED3869"/>
    <w:rsid w:val="00ED48F7"/>
    <w:rsid w:val="00EE0DB2"/>
    <w:rsid w:val="00EE2684"/>
    <w:rsid w:val="00EE3C4C"/>
    <w:rsid w:val="00EF1720"/>
    <w:rsid w:val="00EF2B71"/>
    <w:rsid w:val="00EF64CA"/>
    <w:rsid w:val="00F0052E"/>
    <w:rsid w:val="00F00553"/>
    <w:rsid w:val="00F00B61"/>
    <w:rsid w:val="00F03A0E"/>
    <w:rsid w:val="00F03C18"/>
    <w:rsid w:val="00F10FAB"/>
    <w:rsid w:val="00F12110"/>
    <w:rsid w:val="00F15800"/>
    <w:rsid w:val="00F202DA"/>
    <w:rsid w:val="00F20CD1"/>
    <w:rsid w:val="00F210A8"/>
    <w:rsid w:val="00F2117B"/>
    <w:rsid w:val="00F21E50"/>
    <w:rsid w:val="00F22CE1"/>
    <w:rsid w:val="00F248B3"/>
    <w:rsid w:val="00F2506F"/>
    <w:rsid w:val="00F25622"/>
    <w:rsid w:val="00F316D5"/>
    <w:rsid w:val="00F32A63"/>
    <w:rsid w:val="00F344EB"/>
    <w:rsid w:val="00F36887"/>
    <w:rsid w:val="00F37114"/>
    <w:rsid w:val="00F469E8"/>
    <w:rsid w:val="00F46F7B"/>
    <w:rsid w:val="00F47103"/>
    <w:rsid w:val="00F537D8"/>
    <w:rsid w:val="00F54F97"/>
    <w:rsid w:val="00F568FE"/>
    <w:rsid w:val="00F56FFB"/>
    <w:rsid w:val="00F6075A"/>
    <w:rsid w:val="00F645F9"/>
    <w:rsid w:val="00F65A1E"/>
    <w:rsid w:val="00F754FA"/>
    <w:rsid w:val="00F771BF"/>
    <w:rsid w:val="00F77545"/>
    <w:rsid w:val="00F77846"/>
    <w:rsid w:val="00F80402"/>
    <w:rsid w:val="00F81689"/>
    <w:rsid w:val="00F818A5"/>
    <w:rsid w:val="00F82D7F"/>
    <w:rsid w:val="00F85173"/>
    <w:rsid w:val="00F859A3"/>
    <w:rsid w:val="00F900B1"/>
    <w:rsid w:val="00F959BF"/>
    <w:rsid w:val="00F95BF8"/>
    <w:rsid w:val="00F96B4C"/>
    <w:rsid w:val="00F96BDE"/>
    <w:rsid w:val="00FA0802"/>
    <w:rsid w:val="00FA1EA0"/>
    <w:rsid w:val="00FA510C"/>
    <w:rsid w:val="00FA5CE8"/>
    <w:rsid w:val="00FB4688"/>
    <w:rsid w:val="00FB5B01"/>
    <w:rsid w:val="00FB71C8"/>
    <w:rsid w:val="00FC0725"/>
    <w:rsid w:val="00FC08F3"/>
    <w:rsid w:val="00FC14F4"/>
    <w:rsid w:val="00FC508E"/>
    <w:rsid w:val="00FD0F58"/>
    <w:rsid w:val="00FD3F54"/>
    <w:rsid w:val="00FE209C"/>
    <w:rsid w:val="00FE4D48"/>
    <w:rsid w:val="00FF381F"/>
    <w:rsid w:val="026B74E6"/>
    <w:rsid w:val="02F60CBA"/>
    <w:rsid w:val="0357459E"/>
    <w:rsid w:val="03814FB3"/>
    <w:rsid w:val="0517125F"/>
    <w:rsid w:val="05D953C1"/>
    <w:rsid w:val="06F61289"/>
    <w:rsid w:val="07753E44"/>
    <w:rsid w:val="07F25E8E"/>
    <w:rsid w:val="0A2C17A5"/>
    <w:rsid w:val="0A771EE1"/>
    <w:rsid w:val="0CAE24F9"/>
    <w:rsid w:val="0D0326E9"/>
    <w:rsid w:val="0E566F6B"/>
    <w:rsid w:val="0EBF679C"/>
    <w:rsid w:val="0EF97221"/>
    <w:rsid w:val="0FAF0A66"/>
    <w:rsid w:val="103F05D5"/>
    <w:rsid w:val="108F5BBE"/>
    <w:rsid w:val="11157572"/>
    <w:rsid w:val="12401C96"/>
    <w:rsid w:val="13A42AA5"/>
    <w:rsid w:val="14D02628"/>
    <w:rsid w:val="16046B5B"/>
    <w:rsid w:val="167B378A"/>
    <w:rsid w:val="18600742"/>
    <w:rsid w:val="18EA268C"/>
    <w:rsid w:val="1A12396E"/>
    <w:rsid w:val="1A1B3508"/>
    <w:rsid w:val="1B0E69B9"/>
    <w:rsid w:val="1B146D0C"/>
    <w:rsid w:val="1C0557A1"/>
    <w:rsid w:val="1CB40B35"/>
    <w:rsid w:val="1DC715CC"/>
    <w:rsid w:val="210127C1"/>
    <w:rsid w:val="2162126D"/>
    <w:rsid w:val="21D65596"/>
    <w:rsid w:val="23611C36"/>
    <w:rsid w:val="238F4FA2"/>
    <w:rsid w:val="243227F8"/>
    <w:rsid w:val="24534F92"/>
    <w:rsid w:val="24754656"/>
    <w:rsid w:val="25582435"/>
    <w:rsid w:val="2580284D"/>
    <w:rsid w:val="25C2490E"/>
    <w:rsid w:val="25CB5674"/>
    <w:rsid w:val="263A31F1"/>
    <w:rsid w:val="27D5076E"/>
    <w:rsid w:val="27E3123F"/>
    <w:rsid w:val="299940A3"/>
    <w:rsid w:val="2AF96621"/>
    <w:rsid w:val="2B017142"/>
    <w:rsid w:val="2C904F2C"/>
    <w:rsid w:val="2D3537EA"/>
    <w:rsid w:val="2EFD79F3"/>
    <w:rsid w:val="2F0E1A8D"/>
    <w:rsid w:val="2F9D7EAB"/>
    <w:rsid w:val="303F1710"/>
    <w:rsid w:val="309B26EB"/>
    <w:rsid w:val="30E357FC"/>
    <w:rsid w:val="3196263F"/>
    <w:rsid w:val="31A67E8E"/>
    <w:rsid w:val="31A71D72"/>
    <w:rsid w:val="326A2512"/>
    <w:rsid w:val="32A824D1"/>
    <w:rsid w:val="34374D83"/>
    <w:rsid w:val="34905DED"/>
    <w:rsid w:val="34CF7460"/>
    <w:rsid w:val="34F04ECD"/>
    <w:rsid w:val="351C60A9"/>
    <w:rsid w:val="362E7E30"/>
    <w:rsid w:val="368545F9"/>
    <w:rsid w:val="36E661DE"/>
    <w:rsid w:val="37133BA7"/>
    <w:rsid w:val="37490995"/>
    <w:rsid w:val="37BD3813"/>
    <w:rsid w:val="37F66FD4"/>
    <w:rsid w:val="381478F1"/>
    <w:rsid w:val="38883536"/>
    <w:rsid w:val="39233BAD"/>
    <w:rsid w:val="39F25519"/>
    <w:rsid w:val="39FD4726"/>
    <w:rsid w:val="3B7018FC"/>
    <w:rsid w:val="3C8B193F"/>
    <w:rsid w:val="3CAA5897"/>
    <w:rsid w:val="3CE85242"/>
    <w:rsid w:val="3D1B3B06"/>
    <w:rsid w:val="3E4D1774"/>
    <w:rsid w:val="3F4774DE"/>
    <w:rsid w:val="41BC311E"/>
    <w:rsid w:val="41CB3857"/>
    <w:rsid w:val="425F3F78"/>
    <w:rsid w:val="44C0585B"/>
    <w:rsid w:val="46171171"/>
    <w:rsid w:val="4636499B"/>
    <w:rsid w:val="47232CC4"/>
    <w:rsid w:val="473E169A"/>
    <w:rsid w:val="48A54C0B"/>
    <w:rsid w:val="4A86388E"/>
    <w:rsid w:val="4B8E1F3F"/>
    <w:rsid w:val="4C353443"/>
    <w:rsid w:val="4CEC1E5E"/>
    <w:rsid w:val="4F4369BC"/>
    <w:rsid w:val="511173CE"/>
    <w:rsid w:val="5152522A"/>
    <w:rsid w:val="51E818A0"/>
    <w:rsid w:val="5240009D"/>
    <w:rsid w:val="539B0EF0"/>
    <w:rsid w:val="54654F56"/>
    <w:rsid w:val="55494A8B"/>
    <w:rsid w:val="556132B4"/>
    <w:rsid w:val="59F83EEF"/>
    <w:rsid w:val="5A9A3749"/>
    <w:rsid w:val="5ADB5C64"/>
    <w:rsid w:val="5CFD3502"/>
    <w:rsid w:val="5D0F7082"/>
    <w:rsid w:val="5D4F1A78"/>
    <w:rsid w:val="5D907492"/>
    <w:rsid w:val="5E1B67C0"/>
    <w:rsid w:val="603843F5"/>
    <w:rsid w:val="606E36E9"/>
    <w:rsid w:val="61635D8B"/>
    <w:rsid w:val="616971C7"/>
    <w:rsid w:val="6170041D"/>
    <w:rsid w:val="61794192"/>
    <w:rsid w:val="627F3F26"/>
    <w:rsid w:val="62FD7456"/>
    <w:rsid w:val="63B317B3"/>
    <w:rsid w:val="64EE5C46"/>
    <w:rsid w:val="656A0512"/>
    <w:rsid w:val="662B7FF4"/>
    <w:rsid w:val="66842152"/>
    <w:rsid w:val="69402024"/>
    <w:rsid w:val="69B520B5"/>
    <w:rsid w:val="6AF33A02"/>
    <w:rsid w:val="6BD45574"/>
    <w:rsid w:val="6BFC5F98"/>
    <w:rsid w:val="6D7A24DA"/>
    <w:rsid w:val="6DA237BF"/>
    <w:rsid w:val="6FBC3BB5"/>
    <w:rsid w:val="710E292E"/>
    <w:rsid w:val="711378B2"/>
    <w:rsid w:val="72FD227D"/>
    <w:rsid w:val="738D6A72"/>
    <w:rsid w:val="73914FF4"/>
    <w:rsid w:val="74423670"/>
    <w:rsid w:val="752320EE"/>
    <w:rsid w:val="752D2380"/>
    <w:rsid w:val="75AC16E9"/>
    <w:rsid w:val="76C9151A"/>
    <w:rsid w:val="77DC1BE9"/>
    <w:rsid w:val="78A86AFE"/>
    <w:rsid w:val="7923296E"/>
    <w:rsid w:val="795C029C"/>
    <w:rsid w:val="79620A83"/>
    <w:rsid w:val="7AA235FF"/>
    <w:rsid w:val="7B190B8D"/>
    <w:rsid w:val="7C19083A"/>
    <w:rsid w:val="7CF049CC"/>
    <w:rsid w:val="7DB32ECB"/>
    <w:rsid w:val="7E1517CD"/>
    <w:rsid w:val="7F514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20" w:firstLineChars="200"/>
      <w:jc w:val="both"/>
    </w:pPr>
    <w:rPr>
      <w:rFonts w:ascii="Times New Roman" w:hAnsi="Times New Roman" w:eastAsia="华文细黑" w:cs="Times New Roman"/>
      <w:kern w:val="2"/>
      <w:sz w:val="24"/>
      <w:szCs w:val="24"/>
      <w:lang w:val="en-US" w:eastAsia="zh-CN" w:bidi="ar-SA"/>
    </w:rPr>
  </w:style>
  <w:style w:type="paragraph" w:styleId="4">
    <w:name w:val="heading 1"/>
    <w:basedOn w:val="1"/>
    <w:next w:val="1"/>
    <w:qFormat/>
    <w:uiPriority w:val="0"/>
    <w:pPr>
      <w:keepNext/>
      <w:keepLines/>
      <w:spacing w:line="480" w:lineRule="auto"/>
      <w:ind w:firstLine="0" w:firstLineChars="0"/>
      <w:jc w:val="center"/>
      <w:outlineLvl w:val="0"/>
    </w:pPr>
    <w:rPr>
      <w:rFonts w:eastAsia="黑体"/>
      <w:kern w:val="44"/>
      <w:sz w:val="72"/>
    </w:rPr>
  </w:style>
  <w:style w:type="paragraph" w:styleId="5">
    <w:name w:val="heading 2"/>
    <w:basedOn w:val="1"/>
    <w:next w:val="1"/>
    <w:unhideWhenUsed/>
    <w:qFormat/>
    <w:uiPriority w:val="0"/>
    <w:pPr>
      <w:keepNext/>
      <w:spacing w:beforeLines="50" w:line="360" w:lineRule="auto"/>
      <w:outlineLvl w:val="1"/>
    </w:pPr>
    <w:rPr>
      <w:rFonts w:ascii="Arial" w:hAnsi="Arial" w:eastAsia="黑体"/>
      <w:sz w:val="3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721" w:firstLineChars="200"/>
    </w:pPr>
    <w:rPr>
      <w:rFonts w:ascii="Calibri"/>
    </w:rPr>
  </w:style>
  <w:style w:type="paragraph" w:styleId="3">
    <w:name w:val="Body Text"/>
    <w:basedOn w:val="1"/>
    <w:link w:val="28"/>
    <w:qFormat/>
    <w:uiPriority w:val="0"/>
    <w:pPr>
      <w:ind w:firstLine="0" w:firstLineChars="0"/>
    </w:pPr>
    <w:rPr>
      <w:rFonts w:ascii="仿宋_GB2312" w:hAnsi="仿宋_GB2312"/>
      <w:sz w:val="21"/>
    </w:rPr>
  </w:style>
  <w:style w:type="paragraph" w:styleId="6">
    <w:name w:val="Document Map"/>
    <w:basedOn w:val="1"/>
    <w:semiHidden/>
    <w:qFormat/>
    <w:uiPriority w:val="0"/>
    <w:pPr>
      <w:shd w:val="clear" w:color="auto" w:fill="000080"/>
    </w:pPr>
  </w:style>
  <w:style w:type="paragraph" w:styleId="7">
    <w:name w:val="annotation text"/>
    <w:basedOn w:val="1"/>
    <w:link w:val="26"/>
    <w:qFormat/>
    <w:uiPriority w:val="0"/>
    <w:pPr>
      <w:jc w:val="left"/>
    </w:pPr>
  </w:style>
  <w:style w:type="paragraph" w:styleId="8">
    <w:name w:val="Body Text Indent"/>
    <w:basedOn w:val="1"/>
    <w:qFormat/>
    <w:uiPriority w:val="0"/>
    <w:pPr>
      <w:spacing w:after="120"/>
      <w:ind w:left="420" w:leftChars="200"/>
    </w:pPr>
  </w:style>
  <w:style w:type="paragraph" w:styleId="9">
    <w:name w:val="Date"/>
    <w:basedOn w:val="1"/>
    <w:next w:val="1"/>
    <w:qFormat/>
    <w:uiPriority w:val="0"/>
    <w:pPr>
      <w:ind w:left="100" w:leftChars="2500"/>
    </w:pPr>
  </w:style>
  <w:style w:type="paragraph" w:styleId="10">
    <w:name w:val="Body Text Indent 2"/>
    <w:basedOn w:val="1"/>
    <w:link w:val="21"/>
    <w:qFormat/>
    <w:uiPriority w:val="0"/>
    <w:pPr>
      <w:spacing w:after="120" w:line="480" w:lineRule="auto"/>
      <w:ind w:left="420" w:leftChars="200"/>
    </w:pPr>
  </w:style>
  <w:style w:type="paragraph" w:styleId="11">
    <w:name w:val="Balloon Text"/>
    <w:basedOn w:val="1"/>
    <w:semiHidden/>
    <w:qFormat/>
    <w:uiPriority w:val="0"/>
    <w:rPr>
      <w:sz w:val="18"/>
      <w:szCs w:val="18"/>
    </w:rPr>
  </w:style>
  <w:style w:type="paragraph" w:styleId="12">
    <w:name w:val="footer"/>
    <w:basedOn w:val="1"/>
    <w:link w:val="22"/>
    <w:qFormat/>
    <w:uiPriority w:val="99"/>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7"/>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character" w:customStyle="1" w:styleId="21">
    <w:name w:val="正文文本缩进 2 字符"/>
    <w:link w:val="10"/>
    <w:qFormat/>
    <w:uiPriority w:val="0"/>
    <w:rPr>
      <w:kern w:val="2"/>
      <w:sz w:val="21"/>
      <w:szCs w:val="24"/>
    </w:rPr>
  </w:style>
  <w:style w:type="character" w:customStyle="1" w:styleId="22">
    <w:name w:val="页脚 字符"/>
    <w:link w:val="12"/>
    <w:qFormat/>
    <w:uiPriority w:val="99"/>
    <w:rPr>
      <w:kern w:val="2"/>
      <w:sz w:val="18"/>
      <w:szCs w:val="18"/>
    </w:rPr>
  </w:style>
  <w:style w:type="paragraph" w:customStyle="1" w:styleId="23">
    <w:name w:val="List Paragraph1"/>
    <w:basedOn w:val="1"/>
    <w:qFormat/>
    <w:uiPriority w:val="99"/>
    <w:rPr>
      <w:szCs w:val="21"/>
    </w:rPr>
  </w:style>
  <w:style w:type="paragraph" w:customStyle="1" w:styleId="24">
    <w:name w:val="reader-word-layer"/>
    <w:basedOn w:val="1"/>
    <w:qFormat/>
    <w:uiPriority w:val="0"/>
    <w:pPr>
      <w:widowControl/>
      <w:spacing w:before="100" w:beforeAutospacing="1" w:after="100" w:afterAutospacing="1"/>
      <w:jc w:val="left"/>
    </w:pPr>
    <w:rPr>
      <w:rFonts w:ascii="宋体" w:hAnsi="宋体" w:cs="宋体"/>
      <w:kern w:val="0"/>
    </w:rPr>
  </w:style>
  <w:style w:type="paragraph" w:customStyle="1" w:styleId="25">
    <w:name w:val="列表段落1"/>
    <w:basedOn w:val="1"/>
    <w:qFormat/>
    <w:uiPriority w:val="0"/>
  </w:style>
  <w:style w:type="character" w:customStyle="1" w:styleId="26">
    <w:name w:val="批注文字 字符"/>
    <w:basedOn w:val="17"/>
    <w:link w:val="7"/>
    <w:qFormat/>
    <w:uiPriority w:val="0"/>
    <w:rPr>
      <w:kern w:val="2"/>
      <w:sz w:val="21"/>
      <w:szCs w:val="24"/>
    </w:rPr>
  </w:style>
  <w:style w:type="character" w:customStyle="1" w:styleId="27">
    <w:name w:val="批注主题 字符"/>
    <w:basedOn w:val="26"/>
    <w:link w:val="14"/>
    <w:qFormat/>
    <w:uiPriority w:val="0"/>
    <w:rPr>
      <w:b/>
      <w:bCs/>
      <w:kern w:val="2"/>
      <w:sz w:val="21"/>
      <w:szCs w:val="24"/>
    </w:rPr>
  </w:style>
  <w:style w:type="character" w:customStyle="1" w:styleId="28">
    <w:name w:val="正文文本 字符"/>
    <w:link w:val="3"/>
    <w:qFormat/>
    <w:uiPriority w:val="0"/>
    <w:rPr>
      <w:rFonts w:ascii="仿宋_GB2312" w:hAnsi="仿宋_GB2312"/>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6AAF5-D95F-4D98-83DC-193C6CE3E0D5}">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10</Pages>
  <Words>4326</Words>
  <Characters>4435</Characters>
  <Lines>36</Lines>
  <Paragraphs>10</Paragraphs>
  <TotalTime>0</TotalTime>
  <ScaleCrop>false</ScaleCrop>
  <LinksUpToDate>false</LinksUpToDate>
  <CharactersWithSpaces>4445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2021-04-30T00:56:00Z</dcterms:created>
  <dc:creator>计算机用户</dc:creator>
  <cp:lastModifiedBy>yang</cp:lastModifiedBy>
  <cp:lastPrinted>2017-04-26T01:18:00Z</cp:lastPrinted>
  <dcterms:modified xsi:type="dcterms:W3CDTF">2022-05-17T23:52:42Z</dcterms:modified>
  <dc:title>关于下发首届“振兴杯”</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8698FD7C7241466181A9C31B71FD6E42</vt:lpwstr>
  </property>
</Properties>
</file>