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-210820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ascii="宋体" w:hAnsi="宋体"/>
                                <w:b/>
                                <w:bCs/>
                                <w:sz w:val="24"/>
                              </w:rPr>
                            </w:pPr>
                            <w:r>
                              <w:rPr>
                                <w:rFonts w:hint="eastAsia" w:ascii="宋体" w:hAnsi="宋体"/>
                                <w:b/>
                                <w:bCs/>
                                <w:sz w:val="24"/>
                              </w:rPr>
                              <w:t>第十</w:t>
                            </w:r>
                            <w:r>
                              <w:rPr>
                                <w:rFonts w:hint="eastAsia" w:ascii="宋体" w:hAnsi="宋体"/>
                                <w:b/>
                                <w:bCs/>
                                <w:sz w:val="24"/>
                                <w:lang w:eastAsia="zh-Hans"/>
                              </w:rPr>
                              <w:t>七</w:t>
                            </w:r>
                            <w:r>
                              <w:rPr>
                                <w:rFonts w:hint="eastAsia" w:ascii="宋体" w:hAnsi="宋体"/>
                                <w:b/>
                                <w:bCs/>
                                <w:sz w:val="24"/>
                              </w:rPr>
                              <w:t>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6pt;margin-top:7.9pt;height:34.85pt;width:164.05pt;z-index:251659264;mso-width-relative:page;mso-height-relative:page;" fillcolor="#FFFFFF" filled="t" stroked="t" coordsize="21600,21600" o:gfxdata="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UTLlPbAAAACQEAAA8AAAAAAAAAAQAgAAAAIgAAAGRycy9kb3ducmV2&#10;LnhtbFBLAQIUABQAAAAIAIdO4kCKy01gMgIAAIcEAAAOAAAAAAAAAAEAIAAAACoBAABkcnMvZTJv&#10;RG9jLnhtbFBLBQYAAAAABgAGAFkBAADOBQAAAAA=&#10;">
                <v:fill on="t" focussize="0,0"/>
                <v:stroke weight="1pt" color="#000000" miterlimit="8" joinstyle="miter"/>
                <v:imagedata o:title=""/>
                <o:lock v:ext="edit" aspectratio="f"/>
                <v:textbox>
                  <w:txbxContent>
                    <w:p>
                      <w:pPr>
                        <w:spacing w:line="240" w:lineRule="exact"/>
                        <w:jc w:val="center"/>
                        <w:rPr>
                          <w:rFonts w:ascii="宋体" w:hAnsi="宋体"/>
                          <w:b/>
                          <w:bCs/>
                          <w:sz w:val="24"/>
                        </w:rPr>
                      </w:pPr>
                      <w:r>
                        <w:rPr>
                          <w:rFonts w:hint="eastAsia" w:ascii="宋体" w:hAnsi="宋体"/>
                          <w:b/>
                          <w:bCs/>
                          <w:sz w:val="24"/>
                        </w:rPr>
                        <w:t>第十</w:t>
                      </w:r>
                      <w:r>
                        <w:rPr>
                          <w:rFonts w:hint="eastAsia" w:ascii="宋体" w:hAnsi="宋体"/>
                          <w:b/>
                          <w:bCs/>
                          <w:sz w:val="24"/>
                          <w:lang w:eastAsia="zh-Hans"/>
                        </w:rPr>
                        <w:t>七</w:t>
                      </w:r>
                      <w:r>
                        <w:rPr>
                          <w:rFonts w:hint="eastAsia" w:ascii="宋体" w:hAnsi="宋体"/>
                          <w:b/>
                          <w:bCs/>
                          <w:sz w:val="24"/>
                        </w:rPr>
                        <w:t>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outlineLvl w:val="0"/>
        <w:rPr>
          <w:rFonts w:hint="eastAsia" w:ascii="黑体" w:hAnsi="黑体" w:eastAsia="黑体" w:cs="黑体"/>
          <w:sz w:val="72"/>
          <w:szCs w:val="72"/>
        </w:rPr>
      </w:pPr>
      <w:r>
        <w:rPr>
          <w:rFonts w:hint="eastAsia" w:ascii="黑体" w:hAnsi="黑体" w:eastAsia="黑体" w:cs="黑体"/>
          <w:sz w:val="72"/>
          <w:szCs w:val="72"/>
        </w:rPr>
        <w:t>建筑信息模型技术员</w:t>
      </w:r>
    </w:p>
    <w:p>
      <w:pPr>
        <w:jc w:val="center"/>
        <w:outlineLvl w:val="0"/>
        <w:rPr>
          <w:rFonts w:hint="eastAsia" w:ascii="黑体" w:hAnsi="黑体" w:eastAsia="黑体" w:cs="黑体"/>
          <w:sz w:val="72"/>
          <w:szCs w:val="72"/>
          <w:lang w:eastAsia="zh-CN"/>
        </w:rPr>
      </w:pPr>
      <w:r>
        <w:rPr>
          <w:rFonts w:hint="eastAsia" w:ascii="黑体" w:hAnsi="黑体" w:eastAsia="黑体" w:cs="黑体"/>
          <w:sz w:val="72"/>
          <w:szCs w:val="72"/>
          <w:lang w:eastAsia="zh-CN"/>
        </w:rPr>
        <w:t>（</w:t>
      </w:r>
      <w:r>
        <w:rPr>
          <w:rFonts w:hint="eastAsia" w:ascii="黑体" w:hAnsi="黑体" w:eastAsia="黑体" w:cs="黑体"/>
          <w:sz w:val="72"/>
          <w:szCs w:val="72"/>
          <w:lang w:val="en-US" w:eastAsia="zh-CN"/>
        </w:rPr>
        <w:t>职工组</w:t>
      </w:r>
      <w:r>
        <w:rPr>
          <w:rFonts w:hint="eastAsia" w:ascii="黑体" w:hAnsi="黑体" w:eastAsia="黑体" w:cs="黑体"/>
          <w:sz w:val="72"/>
          <w:szCs w:val="72"/>
          <w:lang w:eastAsia="zh-CN"/>
        </w:rPr>
        <w:t>）</w:t>
      </w:r>
    </w:p>
    <w:p>
      <w:pPr>
        <w:jc w:val="center"/>
        <w:outlineLvl w:val="0"/>
        <w:rPr>
          <w:rFonts w:ascii="华文新魏" w:eastAsia="华文新魏"/>
          <w:sz w:val="72"/>
          <w:szCs w:val="72"/>
        </w:rPr>
      </w:pPr>
      <w:r>
        <w:rPr>
          <w:rFonts w:hint="eastAsia" w:ascii="黑体" w:hAnsi="黑体" w:eastAsia="黑体" w:cs="黑体"/>
          <w:sz w:val="72"/>
          <w:szCs w:val="72"/>
        </w:rPr>
        <w:t>决赛技术文件</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outlineLvl w:val="0"/>
        <w:rPr>
          <w:rFonts w:ascii="黑体" w:hAnsi="黑体" w:eastAsia="黑体" w:cs="黑体"/>
          <w:b/>
          <w:sz w:val="32"/>
          <w:szCs w:val="32"/>
        </w:rPr>
      </w:pPr>
      <w:r>
        <w:rPr>
          <w:rFonts w:hint="eastAsia" w:ascii="黑体" w:hAnsi="黑体" w:eastAsia="黑体" w:cs="黑体"/>
          <w:b/>
          <w:sz w:val="32"/>
          <w:szCs w:val="32"/>
        </w:rPr>
        <w:t>第十</w:t>
      </w:r>
      <w:r>
        <w:rPr>
          <w:rFonts w:hint="eastAsia" w:ascii="黑体" w:hAnsi="黑体" w:eastAsia="黑体" w:cs="黑体"/>
          <w:b/>
          <w:sz w:val="32"/>
          <w:szCs w:val="32"/>
          <w:lang w:eastAsia="zh-Hans"/>
        </w:rPr>
        <w:t>七</w:t>
      </w:r>
      <w:r>
        <w:rPr>
          <w:rFonts w:hint="eastAsia" w:ascii="黑体" w:hAnsi="黑体" w:eastAsia="黑体" w:cs="黑体"/>
          <w:b/>
          <w:sz w:val="32"/>
          <w:szCs w:val="32"/>
        </w:rPr>
        <w:t>届“振兴杯”全国青年职业技能大赛组委会</w:t>
      </w:r>
    </w:p>
    <w:p>
      <w:pPr>
        <w:jc w:val="center"/>
        <w:outlineLvl w:val="0"/>
        <w:rPr>
          <w:rFonts w:ascii="黑体" w:hAnsi="黑体" w:eastAsia="黑体" w:cs="黑体"/>
          <w:b/>
          <w:sz w:val="32"/>
          <w:szCs w:val="32"/>
        </w:rPr>
      </w:pPr>
      <w:r>
        <w:rPr>
          <w:rFonts w:hint="eastAsia" w:ascii="黑体" w:hAnsi="黑体" w:eastAsia="黑体" w:cs="黑体"/>
          <w:b/>
          <w:sz w:val="32"/>
          <w:szCs w:val="32"/>
        </w:rPr>
        <w:t>2022年5月</w:t>
      </w:r>
    </w:p>
    <w:p>
      <w:pPr>
        <w:spacing w:line="500" w:lineRule="exact"/>
        <w:rPr>
          <w:b/>
          <w:bCs/>
          <w:sz w:val="36"/>
          <w:szCs w:val="36"/>
        </w:rPr>
      </w:pPr>
    </w:p>
    <w:p>
      <w:pPr>
        <w:spacing w:line="500" w:lineRule="exact"/>
        <w:jc w:val="center"/>
        <w:outlineLvl w:val="0"/>
        <w:rPr>
          <w:rFonts w:ascii="黑体" w:hAnsi="黑体" w:eastAsia="黑体" w:cs="黑体"/>
          <w:b/>
          <w:bCs/>
          <w:sz w:val="32"/>
          <w:szCs w:val="32"/>
        </w:rPr>
      </w:pPr>
      <w:r>
        <w:rPr>
          <w:rFonts w:hint="eastAsia" w:ascii="黑体" w:hAnsi="黑体" w:eastAsia="黑体" w:cs="黑体"/>
          <w:b/>
          <w:bCs/>
          <w:sz w:val="32"/>
          <w:szCs w:val="32"/>
        </w:rPr>
        <w:t>第十</w:t>
      </w:r>
      <w:r>
        <w:rPr>
          <w:rFonts w:hint="eastAsia" w:ascii="黑体" w:hAnsi="黑体" w:eastAsia="黑体" w:cs="黑体"/>
          <w:b/>
          <w:bCs/>
          <w:sz w:val="32"/>
          <w:szCs w:val="32"/>
          <w:lang w:eastAsia="zh-Hans"/>
        </w:rPr>
        <w:t>七</w:t>
      </w:r>
      <w:r>
        <w:rPr>
          <w:rFonts w:hint="eastAsia" w:ascii="黑体" w:hAnsi="黑体" w:eastAsia="黑体" w:cs="黑体"/>
          <w:b/>
          <w:bCs/>
          <w:sz w:val="32"/>
          <w:szCs w:val="32"/>
        </w:rPr>
        <w:t>届“振兴杯”全国青年职业技能大赛</w:t>
      </w:r>
    </w:p>
    <w:p>
      <w:pPr>
        <w:spacing w:line="500" w:lineRule="exact"/>
        <w:jc w:val="center"/>
        <w:outlineLvl w:val="0"/>
        <w:rPr>
          <w:rFonts w:ascii="宋体" w:hAnsi="华文细黑" w:eastAsia="黑体"/>
          <w:b/>
          <w:bCs/>
          <w:sz w:val="32"/>
          <w:szCs w:val="32"/>
        </w:rPr>
      </w:pPr>
      <w:r>
        <w:rPr>
          <w:rFonts w:hint="eastAsia" w:ascii="黑体" w:hAnsi="黑体" w:eastAsia="黑体" w:cs="黑体"/>
          <w:b/>
          <w:bCs/>
          <w:sz w:val="32"/>
          <w:szCs w:val="32"/>
        </w:rPr>
        <w:t>建筑信息模型技术员决赛技术文件</w:t>
      </w:r>
    </w:p>
    <w:p>
      <w:pPr>
        <w:spacing w:before="156" w:beforeLines="50" w:after="156" w:afterLines="50" w:line="360" w:lineRule="auto"/>
        <w:ind w:firstLine="602" w:firstLineChars="200"/>
        <w:outlineLvl w:val="0"/>
        <w:rPr>
          <w:rFonts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ascii="Calibri" w:hAnsi="Calibri" w:eastAsia="华文细黑"/>
          <w:sz w:val="24"/>
        </w:rPr>
      </w:pPr>
      <w:r>
        <w:rPr>
          <w:rFonts w:hint="eastAsia" w:ascii="Calibri" w:hAnsi="Calibri" w:eastAsia="华文细黑"/>
          <w:sz w:val="24"/>
        </w:rPr>
        <w:t>建筑信息模型技术员竞赛项目是以《建筑信息模型技术员国家职业技能标准》高级(国家职业资格三级)为基础，并涵盖国家职业资格三级以下和技师（国家职业资格二级）的部分内容。</w:t>
      </w:r>
    </w:p>
    <w:p>
      <w:pPr>
        <w:spacing w:before="156" w:beforeLines="50" w:after="156" w:afterLines="50" w:line="360" w:lineRule="auto"/>
        <w:ind w:firstLine="602" w:firstLineChars="200"/>
        <w:outlineLvl w:val="0"/>
        <w:rPr>
          <w:rFonts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ascii="Calibri" w:hAnsi="Calibri" w:eastAsia="华文细黑"/>
          <w:sz w:val="24"/>
        </w:rPr>
      </w:pPr>
      <w:r>
        <w:rPr>
          <w:rFonts w:hint="eastAsia" w:ascii="Calibri" w:hAnsi="Calibri" w:eastAsia="华文细黑"/>
          <w:sz w:val="24"/>
        </w:rPr>
        <w:t>依据《建筑信息模型技术员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outlineLvl w:val="0"/>
        <w:rPr>
          <w:rFonts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outlineLvl w:val="1"/>
        <w:rPr>
          <w:rFonts w:ascii="仿宋" w:hAnsi="仿宋" w:eastAsia="仿宋"/>
          <w:b/>
          <w:bCs/>
          <w:sz w:val="24"/>
        </w:rPr>
      </w:pPr>
      <w:r>
        <w:rPr>
          <w:rFonts w:hint="eastAsia" w:ascii="Calibri" w:hAnsi="Calibri" w:eastAsia="华文细黑"/>
          <w:b/>
          <w:bCs/>
          <w:sz w:val="24"/>
        </w:rPr>
        <w:t>（一）竞赛方式</w:t>
      </w:r>
    </w:p>
    <w:p>
      <w:pPr>
        <w:tabs>
          <w:tab w:val="left" w:pos="540"/>
        </w:tabs>
        <w:spacing w:line="360" w:lineRule="auto"/>
        <w:ind w:firstLine="480" w:firstLineChars="200"/>
      </w:pPr>
      <w:r>
        <w:rPr>
          <w:rFonts w:hint="eastAsia" w:ascii="Calibri" w:hAnsi="Calibri" w:eastAsia="华文细黑"/>
          <w:sz w:val="24"/>
        </w:rPr>
        <w:t>竞赛包括理论知识和实际操作两部分，均由1名选手独立完成。</w:t>
      </w:r>
    </w:p>
    <w:p>
      <w:pPr>
        <w:tabs>
          <w:tab w:val="left" w:pos="3240"/>
        </w:tabs>
        <w:spacing w:line="360" w:lineRule="auto"/>
        <w:ind w:firstLine="480" w:firstLineChars="200"/>
        <w:outlineLvl w:val="1"/>
        <w:rPr>
          <w:rFonts w:ascii="Calibri" w:hAnsi="Calibri" w:eastAsia="华文细黑"/>
          <w:b/>
          <w:bCs/>
          <w:sz w:val="24"/>
        </w:rPr>
      </w:pPr>
      <w:r>
        <w:rPr>
          <w:rFonts w:hint="eastAsia" w:ascii="Calibri" w:hAnsi="Calibri" w:eastAsia="华文细黑"/>
          <w:b/>
          <w:bCs/>
          <w:sz w:val="24"/>
        </w:rPr>
        <w:t>（二）竞赛时间</w:t>
      </w:r>
    </w:p>
    <w:p>
      <w:pPr>
        <w:tabs>
          <w:tab w:val="left" w:pos="540"/>
        </w:tabs>
        <w:spacing w:line="360" w:lineRule="auto"/>
        <w:ind w:firstLine="480" w:firstLineChars="200"/>
        <w:rPr>
          <w:rFonts w:ascii="Calibri" w:hAnsi="Calibri" w:eastAsia="华文细黑"/>
          <w:sz w:val="24"/>
          <w:highlight w:val="yellow"/>
        </w:rPr>
      </w:pPr>
      <w:r>
        <w:rPr>
          <w:rFonts w:hint="eastAsia" w:ascii="Calibri" w:hAnsi="Calibri" w:eastAsia="华文细黑"/>
          <w:sz w:val="24"/>
        </w:rPr>
        <w:t>1</w:t>
      </w:r>
      <w:r>
        <w:rPr>
          <w:rFonts w:hint="eastAsia" w:ascii="Calibri" w:hAnsi="Calibri" w:eastAsia="华文细黑"/>
          <w:sz w:val="24"/>
          <w:lang w:eastAsia="zh-Hans"/>
        </w:rPr>
        <w:t>.</w:t>
      </w:r>
      <w:r>
        <w:rPr>
          <w:rFonts w:hint="eastAsia" w:ascii="Calibri" w:hAnsi="Calibri" w:eastAsia="华文细黑"/>
          <w:sz w:val="24"/>
        </w:rPr>
        <w:t>理论知识竞赛时间60分钟。</w:t>
      </w:r>
    </w:p>
    <w:p>
      <w:pPr>
        <w:tabs>
          <w:tab w:val="left" w:pos="540"/>
        </w:tabs>
        <w:spacing w:line="360" w:lineRule="auto"/>
        <w:ind w:firstLine="480" w:firstLineChars="200"/>
        <w:rPr>
          <w:rFonts w:ascii="Calibri" w:hAnsi="Calibri" w:eastAsia="华文细黑"/>
          <w:sz w:val="24"/>
        </w:rPr>
      </w:pPr>
      <w:r>
        <w:rPr>
          <w:rFonts w:hint="eastAsia" w:ascii="Calibri" w:hAnsi="Calibri" w:eastAsia="华文细黑"/>
          <w:sz w:val="24"/>
        </w:rPr>
        <w:t>2</w:t>
      </w:r>
      <w:r>
        <w:rPr>
          <w:rFonts w:hint="eastAsia" w:ascii="Calibri" w:hAnsi="Calibri" w:eastAsia="华文细黑"/>
          <w:sz w:val="24"/>
          <w:lang w:eastAsia="zh-Hans"/>
        </w:rPr>
        <w:t>.</w:t>
      </w:r>
      <w:r>
        <w:rPr>
          <w:rFonts w:hint="eastAsia" w:ascii="Calibri" w:hAnsi="Calibri" w:eastAsia="华文细黑"/>
          <w:sz w:val="24"/>
        </w:rPr>
        <w:t>实际操作竞赛时间360分钟。</w:t>
      </w:r>
    </w:p>
    <w:p>
      <w:pPr>
        <w:tabs>
          <w:tab w:val="left" w:pos="3240"/>
        </w:tabs>
        <w:spacing w:line="360" w:lineRule="auto"/>
        <w:ind w:firstLine="480" w:firstLineChars="200"/>
        <w:outlineLvl w:val="1"/>
        <w:rPr>
          <w:rFonts w:ascii="Calibri" w:hAnsi="Calibri" w:eastAsia="华文细黑"/>
          <w:b/>
          <w:bCs/>
          <w:sz w:val="24"/>
        </w:rPr>
      </w:pPr>
      <w:r>
        <w:rPr>
          <w:rFonts w:hint="eastAsia" w:ascii="Calibri" w:hAnsi="Calibri" w:eastAsia="华文细黑"/>
          <w:b/>
          <w:bCs/>
          <w:sz w:val="24"/>
        </w:rPr>
        <w:t>（三）成绩计算</w:t>
      </w:r>
    </w:p>
    <w:p>
      <w:pPr>
        <w:tabs>
          <w:tab w:val="left" w:pos="540"/>
        </w:tabs>
        <w:spacing w:line="360" w:lineRule="auto"/>
        <w:ind w:firstLine="480" w:firstLineChars="200"/>
        <w:rPr>
          <w:rFonts w:ascii="Calibri" w:hAnsi="Calibri" w:eastAsia="华文细黑"/>
          <w:sz w:val="24"/>
        </w:rPr>
      </w:pPr>
      <w:r>
        <w:rPr>
          <w:rFonts w:hint="eastAsia" w:ascii="Calibri" w:hAnsi="Calibri" w:eastAsia="华文细黑"/>
          <w:sz w:val="24"/>
        </w:rPr>
        <w:t>竞赛总成绩由理论知识和实际操作比赛两部分成绩组成。竞赛总成绩作为参赛选手名次排序的依据。参赛选手总成绩相同</w:t>
      </w:r>
      <w:r>
        <w:rPr>
          <w:rFonts w:hint="eastAsia" w:ascii="Calibri" w:hAnsi="Calibri" w:eastAsia="华文细黑"/>
          <w:sz w:val="24"/>
          <w:lang w:eastAsia="zh-Hans"/>
        </w:rPr>
        <w:t>时</w:t>
      </w:r>
      <w:r>
        <w:rPr>
          <w:rFonts w:hint="eastAsia" w:ascii="Calibri" w:hAnsi="Calibri" w:eastAsia="华文细黑"/>
          <w:sz w:val="24"/>
        </w:rPr>
        <w:t>，实际操作比赛成绩高的选手名次在前。参赛选手总成绩和实际操作比赛成绩均相同，则依次比较BIM模型建立、BIM模型应用的成绩，最终确定名次。</w:t>
      </w:r>
    </w:p>
    <w:p>
      <w:pPr>
        <w:tabs>
          <w:tab w:val="left" w:pos="540"/>
        </w:tabs>
        <w:spacing w:line="360" w:lineRule="auto"/>
        <w:ind w:firstLine="480" w:firstLineChars="200"/>
        <w:rPr>
          <w:rFonts w:ascii="Calibri" w:hAnsi="Calibri" w:eastAsia="华文细黑"/>
          <w:sz w:val="24"/>
        </w:rPr>
      </w:pPr>
      <w:r>
        <w:rPr>
          <w:rFonts w:hint="eastAsia" w:ascii="Calibri" w:hAnsi="Calibri" w:eastAsia="华文细黑"/>
          <w:sz w:val="24"/>
        </w:rPr>
        <w:t>1</w:t>
      </w:r>
      <w:r>
        <w:rPr>
          <w:rFonts w:hint="eastAsia" w:ascii="Calibri" w:hAnsi="Calibri" w:eastAsia="华文细黑"/>
          <w:sz w:val="24"/>
          <w:lang w:eastAsia="zh-Hans"/>
        </w:rPr>
        <w:t>.</w:t>
      </w:r>
      <w:r>
        <w:rPr>
          <w:rFonts w:hint="eastAsia" w:ascii="Calibri" w:hAnsi="Calibri" w:eastAsia="华文细黑"/>
          <w:sz w:val="24"/>
        </w:rPr>
        <w:t>理论知识竞赛（计算机答题）满分100分，占总成绩的</w:t>
      </w:r>
      <w:r>
        <w:rPr>
          <w:rFonts w:ascii="Calibri" w:hAnsi="Calibri" w:eastAsia="华文细黑"/>
          <w:sz w:val="24"/>
        </w:rPr>
        <w:t>3</w:t>
      </w:r>
      <w:r>
        <w:rPr>
          <w:rFonts w:hint="eastAsia" w:ascii="Calibri" w:hAnsi="Calibri" w:eastAsia="华文细黑"/>
          <w:sz w:val="24"/>
        </w:rPr>
        <w:t>0％（其中时事政治题，占总成绩的</w:t>
      </w:r>
      <w:r>
        <w:rPr>
          <w:rFonts w:ascii="Calibri" w:hAnsi="Calibri" w:eastAsia="华文细黑"/>
          <w:sz w:val="24"/>
        </w:rPr>
        <w:t>10</w:t>
      </w:r>
      <w:r>
        <w:rPr>
          <w:rFonts w:hint="eastAsia" w:ascii="Calibri" w:hAnsi="Calibri" w:eastAsia="华文细黑"/>
          <w:sz w:val="24"/>
        </w:rPr>
        <w:t>％）。</w:t>
      </w:r>
    </w:p>
    <w:p>
      <w:pPr>
        <w:tabs>
          <w:tab w:val="left" w:pos="540"/>
        </w:tabs>
        <w:spacing w:line="360" w:lineRule="auto"/>
        <w:ind w:firstLine="480" w:firstLineChars="200"/>
        <w:rPr>
          <w:rFonts w:ascii="Calibri" w:hAnsi="Calibri" w:eastAsia="华文细黑"/>
          <w:sz w:val="24"/>
        </w:rPr>
      </w:pPr>
      <w:r>
        <w:rPr>
          <w:rFonts w:hint="eastAsia" w:ascii="Calibri" w:hAnsi="Calibri" w:eastAsia="华文细黑"/>
          <w:sz w:val="24"/>
        </w:rPr>
        <w:t>2</w:t>
      </w:r>
      <w:r>
        <w:rPr>
          <w:rFonts w:hint="eastAsia" w:ascii="Calibri" w:hAnsi="Calibri" w:eastAsia="华文细黑"/>
          <w:sz w:val="24"/>
          <w:lang w:eastAsia="zh-Hans"/>
        </w:rPr>
        <w:t>.</w:t>
      </w:r>
      <w:r>
        <w:rPr>
          <w:rFonts w:hint="eastAsia" w:ascii="Calibri" w:hAnsi="Calibri" w:eastAsia="华文细黑"/>
          <w:sz w:val="24"/>
        </w:rPr>
        <w:t>实际操作成绩满分100分，占总成绩的</w:t>
      </w:r>
      <w:r>
        <w:rPr>
          <w:rFonts w:ascii="Calibri" w:hAnsi="Calibri" w:eastAsia="华文细黑"/>
          <w:sz w:val="24"/>
        </w:rPr>
        <w:t>7</w:t>
      </w:r>
      <w:r>
        <w:rPr>
          <w:rFonts w:hint="eastAsia" w:ascii="Calibri" w:hAnsi="Calibri" w:eastAsia="华文细黑"/>
          <w:sz w:val="24"/>
        </w:rPr>
        <w:t>0％。</w:t>
      </w:r>
    </w:p>
    <w:p>
      <w:pPr>
        <w:spacing w:before="156" w:beforeLines="50" w:after="156" w:afterLines="50" w:line="360" w:lineRule="auto"/>
        <w:ind w:firstLine="602" w:firstLineChars="200"/>
        <w:outlineLvl w:val="0"/>
        <w:rPr>
          <w:rFonts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outlineLvl w:val="1"/>
        <w:rPr>
          <w:rFonts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1</w:t>
      </w:r>
      <w:r>
        <w:rPr>
          <w:rFonts w:hint="eastAsia" w:ascii="Calibri" w:hAnsi="Calibri" w:eastAsia="华文细黑"/>
          <w:sz w:val="24"/>
          <w:lang w:eastAsia="zh-Hans"/>
        </w:rPr>
        <w:t>.</w:t>
      </w:r>
      <w:r>
        <w:rPr>
          <w:rFonts w:hint="eastAsia" w:ascii="Calibri" w:hAnsi="Calibri" w:eastAsia="华文细黑"/>
          <w:sz w:val="24"/>
        </w:rPr>
        <w:t>试题范围</w:t>
      </w:r>
    </w:p>
    <w:p>
      <w:pPr>
        <w:spacing w:line="360" w:lineRule="auto"/>
        <w:ind w:firstLine="480" w:firstLineChars="200"/>
        <w:rPr>
          <w:rFonts w:ascii="Calibri" w:hAnsi="Calibri" w:eastAsia="华文细黑"/>
          <w:sz w:val="24"/>
        </w:rPr>
      </w:pPr>
      <w:r>
        <w:rPr>
          <w:rFonts w:hint="eastAsia" w:ascii="Calibri" w:hAnsi="Calibri" w:eastAsia="华文细黑"/>
          <w:sz w:val="24"/>
        </w:rPr>
        <w:t>理论知识竞赛以竞赛题库作为参考资料，决赛前</w:t>
      </w:r>
      <w:r>
        <w:rPr>
          <w:rFonts w:hint="eastAsia" w:ascii="Calibri" w:hAnsi="Calibri" w:eastAsia="华文细黑"/>
          <w:sz w:val="24"/>
          <w:lang w:eastAsia="zh-Hans"/>
        </w:rPr>
        <w:t>两</w:t>
      </w:r>
      <w:r>
        <w:rPr>
          <w:rFonts w:hint="eastAsia" w:ascii="Calibri" w:hAnsi="Calibri" w:eastAsia="华文细黑"/>
          <w:sz w:val="24"/>
        </w:rPr>
        <w:t>个月在团中央网站上公布理论知识竞赛题库（不含时事政治题），时事政治题单独命题。</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2</w:t>
      </w:r>
      <w:r>
        <w:rPr>
          <w:rFonts w:hint="eastAsia" w:ascii="Calibri" w:hAnsi="Calibri" w:eastAsia="华文细黑"/>
          <w:sz w:val="24"/>
          <w:lang w:eastAsia="zh-Hans"/>
        </w:rPr>
        <w:t>.</w:t>
      </w:r>
      <w:r>
        <w:rPr>
          <w:rFonts w:hint="eastAsia" w:ascii="Calibri" w:hAnsi="Calibri" w:eastAsia="华文细黑"/>
          <w:sz w:val="24"/>
        </w:rPr>
        <w:t>试题题型</w:t>
      </w:r>
    </w:p>
    <w:p>
      <w:pPr>
        <w:spacing w:line="360" w:lineRule="auto"/>
        <w:ind w:firstLine="480" w:firstLineChars="200"/>
        <w:rPr>
          <w:rFonts w:ascii="Calibri" w:hAnsi="Calibri" w:eastAsia="华文细黑"/>
          <w:sz w:val="24"/>
        </w:rPr>
      </w:pPr>
      <w:r>
        <w:rPr>
          <w:rFonts w:hint="eastAsia" w:ascii="Calibri" w:hAnsi="Calibri" w:eastAsia="华文细黑"/>
          <w:sz w:val="24"/>
        </w:rPr>
        <w:t>竞赛试题包括判断题与单项选择题两种类型。</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3</w:t>
      </w:r>
      <w:r>
        <w:rPr>
          <w:rFonts w:hint="eastAsia" w:ascii="Calibri" w:hAnsi="Calibri" w:eastAsia="华文细黑"/>
          <w:sz w:val="24"/>
          <w:lang w:eastAsia="zh-Hans"/>
        </w:rPr>
        <w:t>.</w:t>
      </w:r>
      <w:r>
        <w:rPr>
          <w:rFonts w:hint="eastAsia" w:ascii="Calibri" w:hAnsi="Calibri" w:eastAsia="华文细黑"/>
          <w:sz w:val="24"/>
        </w:rPr>
        <w:t>竞赛方式</w:t>
      </w:r>
    </w:p>
    <w:p>
      <w:pPr>
        <w:spacing w:line="360" w:lineRule="auto"/>
        <w:ind w:firstLine="480" w:firstLineChars="200"/>
        <w:rPr>
          <w:rFonts w:ascii="Calibri" w:hAnsi="Calibri" w:eastAsia="华文细黑"/>
          <w:sz w:val="24"/>
        </w:rPr>
      </w:pPr>
      <w:r>
        <w:rPr>
          <w:rFonts w:hint="eastAsia" w:ascii="Calibri" w:hAnsi="Calibri" w:eastAsia="华文细黑"/>
          <w:sz w:val="24"/>
        </w:rPr>
        <w:t>理论知识竞赛采用计算机软件答题。决赛前一个月可以在大赛官网上模拟答题。</w:t>
      </w:r>
    </w:p>
    <w:p>
      <w:pPr>
        <w:tabs>
          <w:tab w:val="left" w:pos="3240"/>
        </w:tabs>
        <w:spacing w:line="360" w:lineRule="auto"/>
        <w:ind w:firstLine="480" w:firstLineChars="200"/>
        <w:outlineLvl w:val="1"/>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1.试题范围</w:t>
      </w:r>
    </w:p>
    <w:p>
      <w:pPr>
        <w:spacing w:line="360" w:lineRule="auto"/>
        <w:ind w:firstLine="480" w:firstLineChars="200"/>
        <w:rPr>
          <w:rFonts w:ascii="Calibri" w:hAnsi="Calibri" w:eastAsia="华文细黑"/>
          <w:sz w:val="24"/>
        </w:rPr>
      </w:pPr>
      <w:r>
        <w:rPr>
          <w:rFonts w:hint="eastAsia" w:ascii="Calibri" w:hAnsi="Calibri" w:eastAsia="华文细黑"/>
          <w:sz w:val="24"/>
        </w:rPr>
        <w:t>（</w:t>
      </w:r>
      <w:r>
        <w:rPr>
          <w:rFonts w:ascii="Calibri" w:hAnsi="Calibri" w:eastAsia="华文细黑"/>
          <w:sz w:val="24"/>
        </w:rPr>
        <w:t>1</w:t>
      </w:r>
      <w:r>
        <w:rPr>
          <w:rFonts w:hint="eastAsia" w:ascii="Calibri" w:hAnsi="Calibri" w:eastAsia="华文细黑"/>
          <w:sz w:val="24"/>
        </w:rPr>
        <w:t>）BIM模型建立</w:t>
      </w:r>
    </w:p>
    <w:p>
      <w:pPr>
        <w:spacing w:line="360" w:lineRule="auto"/>
        <w:ind w:firstLine="480" w:firstLineChars="200"/>
        <w:rPr>
          <w:rFonts w:ascii="Calibri" w:hAnsi="Calibri" w:eastAsia="华文细黑"/>
          <w:sz w:val="24"/>
        </w:rPr>
      </w:pPr>
      <w:r>
        <w:rPr>
          <w:rFonts w:hint="eastAsia" w:ascii="Calibri" w:hAnsi="Calibri" w:eastAsia="华文细黑"/>
          <w:sz w:val="24"/>
        </w:rPr>
        <w:t>根据竞赛组委会提供的竞赛平台和有关资料及操作技能要求，参赛选手完成下列工作任务：</w:t>
      </w:r>
    </w:p>
    <w:p>
      <w:pPr>
        <w:spacing w:line="360" w:lineRule="auto"/>
        <w:ind w:firstLine="480" w:firstLineChars="200"/>
        <w:rPr>
          <w:rFonts w:ascii="Calibri" w:hAnsi="Calibri" w:eastAsia="华文细黑"/>
          <w:sz w:val="24"/>
        </w:rPr>
      </w:pPr>
      <w:r>
        <w:rPr>
          <w:rFonts w:hint="eastAsia" w:ascii="Calibri" w:hAnsi="Calibri" w:eastAsia="华文细黑"/>
          <w:sz w:val="24"/>
        </w:rPr>
        <w:t>1）按照任务书要求，完成建筑、结构BIM综合模型的建立</w:t>
      </w:r>
      <w:r>
        <w:rPr>
          <w:rFonts w:hint="eastAsia" w:ascii="Calibri" w:hAnsi="Calibri" w:eastAsia="华文细黑"/>
          <w:sz w:val="24"/>
          <w:lang w:eastAsia="zh-Hans"/>
        </w:rPr>
        <w:t>；</w:t>
      </w:r>
    </w:p>
    <w:p>
      <w:pPr>
        <w:spacing w:line="360" w:lineRule="auto"/>
        <w:ind w:firstLine="480" w:firstLineChars="200"/>
        <w:rPr>
          <w:rFonts w:ascii="Calibri" w:hAnsi="Calibri" w:eastAsia="华文细黑"/>
          <w:sz w:val="24"/>
        </w:rPr>
      </w:pPr>
      <w:r>
        <w:rPr>
          <w:rFonts w:hint="eastAsia" w:ascii="Calibri" w:hAnsi="Calibri" w:eastAsia="华文细黑"/>
          <w:sz w:val="24"/>
        </w:rPr>
        <w:t>2）按照任务书要求</w:t>
      </w:r>
      <w:r>
        <w:rPr>
          <w:rFonts w:hint="eastAsia" w:ascii="Calibri" w:hAnsi="Calibri" w:eastAsia="华文细黑"/>
          <w:sz w:val="24"/>
          <w:lang w:eastAsia="zh-Hans"/>
        </w:rPr>
        <w:t>，</w:t>
      </w:r>
      <w:r>
        <w:rPr>
          <w:rFonts w:hint="eastAsia" w:ascii="Calibri" w:hAnsi="Calibri" w:eastAsia="华文细黑"/>
          <w:sz w:val="24"/>
        </w:rPr>
        <w:t>完成族或体量构件模型的建立</w:t>
      </w:r>
      <w:r>
        <w:rPr>
          <w:rFonts w:hint="eastAsia" w:ascii="Calibri" w:hAnsi="Calibri" w:eastAsia="华文细黑"/>
          <w:sz w:val="24"/>
          <w:lang w:eastAsia="zh-Hans"/>
        </w:rPr>
        <w:t>。</w:t>
      </w:r>
    </w:p>
    <w:p>
      <w:pPr>
        <w:spacing w:line="360" w:lineRule="auto"/>
        <w:ind w:firstLine="480" w:firstLineChars="200"/>
        <w:rPr>
          <w:rFonts w:ascii="Calibri" w:hAnsi="Calibri" w:eastAsia="华文细黑"/>
          <w:sz w:val="24"/>
          <w:lang w:eastAsia="zh-Hans"/>
        </w:rPr>
      </w:pPr>
      <w:r>
        <w:rPr>
          <w:rFonts w:hint="eastAsia" w:ascii="Calibri" w:hAnsi="Calibri" w:eastAsia="华文细黑"/>
          <w:sz w:val="24"/>
        </w:rPr>
        <w:t>（</w:t>
      </w:r>
      <w:r>
        <w:rPr>
          <w:rFonts w:ascii="Calibri" w:hAnsi="Calibri" w:eastAsia="华文细黑"/>
          <w:sz w:val="24"/>
        </w:rPr>
        <w:t>2</w:t>
      </w:r>
      <w:r>
        <w:rPr>
          <w:rFonts w:hint="eastAsia" w:ascii="Calibri" w:hAnsi="Calibri" w:eastAsia="华文细黑"/>
          <w:sz w:val="24"/>
        </w:rPr>
        <w:t>）BIM模型</w:t>
      </w:r>
      <w:r>
        <w:rPr>
          <w:rFonts w:hint="eastAsia" w:ascii="Calibri" w:hAnsi="Calibri" w:eastAsia="华文细黑"/>
          <w:sz w:val="24"/>
          <w:lang w:eastAsia="zh-Hans"/>
        </w:rPr>
        <w:t>应用</w:t>
      </w:r>
    </w:p>
    <w:p>
      <w:pPr>
        <w:spacing w:line="360" w:lineRule="auto"/>
        <w:ind w:firstLine="480" w:firstLineChars="200"/>
        <w:rPr>
          <w:rFonts w:ascii="Calibri" w:hAnsi="Calibri" w:eastAsia="华文细黑"/>
          <w:sz w:val="24"/>
        </w:rPr>
      </w:pPr>
      <w:r>
        <w:rPr>
          <w:rFonts w:ascii="Calibri" w:hAnsi="Calibri" w:eastAsia="华文细黑"/>
          <w:sz w:val="24"/>
        </w:rPr>
        <w:t>1</w:t>
      </w:r>
      <w:r>
        <w:rPr>
          <w:rFonts w:hint="eastAsia" w:ascii="Calibri" w:hAnsi="Calibri" w:eastAsia="华文细黑"/>
          <w:sz w:val="24"/>
          <w:lang w:eastAsia="zh-Hans"/>
        </w:rPr>
        <w:t>）</w:t>
      </w:r>
      <w:r>
        <w:rPr>
          <w:rFonts w:hint="eastAsia" w:ascii="Calibri" w:hAnsi="Calibri" w:eastAsia="华文细黑"/>
          <w:sz w:val="24"/>
        </w:rPr>
        <w:t>按照任务书要求</w:t>
      </w:r>
      <w:r>
        <w:rPr>
          <w:rFonts w:hint="eastAsia" w:ascii="Calibri" w:hAnsi="Calibri" w:eastAsia="华文细黑"/>
          <w:sz w:val="24"/>
          <w:lang w:eastAsia="zh-Hans"/>
        </w:rPr>
        <w:t>，完成</w:t>
      </w:r>
      <w:r>
        <w:rPr>
          <w:rFonts w:hint="eastAsia" w:ascii="Calibri" w:hAnsi="Calibri" w:eastAsia="华文细黑"/>
          <w:sz w:val="24"/>
        </w:rPr>
        <w:t>模型协同及碰撞检测报告、实施方案、建模标准等相关技术文件输出</w:t>
      </w:r>
      <w:r>
        <w:rPr>
          <w:rFonts w:hint="eastAsia" w:ascii="Calibri" w:hAnsi="Calibri" w:eastAsia="华文细黑"/>
          <w:sz w:val="24"/>
          <w:lang w:eastAsia="zh-Hans"/>
        </w:rPr>
        <w:t>；</w:t>
      </w:r>
    </w:p>
    <w:p>
      <w:pPr>
        <w:spacing w:line="360" w:lineRule="auto"/>
        <w:ind w:firstLine="480" w:firstLineChars="200"/>
        <w:rPr>
          <w:rFonts w:ascii="Calibri" w:hAnsi="Calibri" w:eastAsia="华文细黑"/>
          <w:sz w:val="24"/>
        </w:rPr>
      </w:pPr>
      <w:r>
        <w:rPr>
          <w:rFonts w:ascii="Calibri" w:hAnsi="Calibri" w:eastAsia="华文细黑"/>
          <w:sz w:val="24"/>
        </w:rPr>
        <w:t>2</w:t>
      </w:r>
      <w:r>
        <w:rPr>
          <w:rFonts w:hint="eastAsia" w:ascii="Calibri" w:hAnsi="Calibri" w:eastAsia="华文细黑"/>
          <w:sz w:val="24"/>
          <w:lang w:eastAsia="zh-Hans"/>
        </w:rPr>
        <w:t>）</w:t>
      </w:r>
      <w:r>
        <w:rPr>
          <w:rFonts w:hint="eastAsia" w:ascii="Calibri" w:hAnsi="Calibri" w:eastAsia="华文细黑"/>
          <w:sz w:val="24"/>
        </w:rPr>
        <w:t>按照任务书要求</w:t>
      </w:r>
      <w:r>
        <w:rPr>
          <w:rFonts w:hint="eastAsia" w:ascii="Calibri" w:hAnsi="Calibri" w:eastAsia="华文细黑"/>
          <w:sz w:val="24"/>
          <w:lang w:eastAsia="zh-Hans"/>
        </w:rPr>
        <w:t>，完成</w:t>
      </w:r>
      <w:r>
        <w:rPr>
          <w:rFonts w:hint="eastAsia" w:ascii="Calibri" w:hAnsi="Calibri" w:eastAsia="华文细黑"/>
          <w:sz w:val="24"/>
        </w:rPr>
        <w:t>BIM模型的平、立、剖面视图输出</w:t>
      </w:r>
      <w:r>
        <w:rPr>
          <w:rFonts w:hint="eastAsia" w:ascii="Calibri" w:hAnsi="Calibri" w:eastAsia="华文细黑"/>
          <w:sz w:val="24"/>
          <w:lang w:eastAsia="zh-Hans"/>
        </w:rPr>
        <w:t>；</w:t>
      </w:r>
    </w:p>
    <w:p>
      <w:pPr>
        <w:spacing w:line="360" w:lineRule="auto"/>
        <w:ind w:firstLine="480" w:firstLineChars="200"/>
        <w:rPr>
          <w:rFonts w:ascii="Calibri" w:hAnsi="Calibri" w:eastAsia="华文细黑"/>
          <w:sz w:val="24"/>
        </w:rPr>
      </w:pPr>
      <w:r>
        <w:rPr>
          <w:rFonts w:ascii="Calibri" w:hAnsi="Calibri" w:eastAsia="华文细黑"/>
          <w:sz w:val="24"/>
        </w:rPr>
        <w:t>3</w:t>
      </w:r>
      <w:r>
        <w:rPr>
          <w:rFonts w:hint="eastAsia" w:ascii="Calibri" w:hAnsi="Calibri" w:eastAsia="华文细黑"/>
          <w:sz w:val="24"/>
          <w:lang w:eastAsia="zh-Hans"/>
        </w:rPr>
        <w:t>）</w:t>
      </w:r>
      <w:r>
        <w:rPr>
          <w:rFonts w:hint="eastAsia" w:ascii="Calibri" w:hAnsi="Calibri" w:eastAsia="华文细黑"/>
          <w:sz w:val="24"/>
        </w:rPr>
        <w:t>按照任务书要求</w:t>
      </w:r>
      <w:r>
        <w:rPr>
          <w:rFonts w:hint="eastAsia" w:ascii="Calibri" w:hAnsi="Calibri" w:eastAsia="华文细黑"/>
          <w:sz w:val="24"/>
          <w:lang w:eastAsia="zh-Hans"/>
        </w:rPr>
        <w:t>，完成</w:t>
      </w:r>
      <w:r>
        <w:rPr>
          <w:rFonts w:hint="eastAsia" w:ascii="Calibri" w:hAnsi="Calibri" w:eastAsia="华文细黑"/>
          <w:sz w:val="24"/>
        </w:rPr>
        <w:t>BIM造价成果输出</w:t>
      </w:r>
      <w:r>
        <w:rPr>
          <w:rFonts w:hint="eastAsia" w:ascii="Calibri" w:hAnsi="Calibri" w:eastAsia="华文细黑"/>
          <w:sz w:val="24"/>
          <w:lang w:eastAsia="zh-Hans"/>
        </w:rPr>
        <w:t>。</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2.竞赛方式</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eastAsia="zh-CN"/>
        </w:rPr>
        <w:t>（</w:t>
      </w:r>
      <w:r>
        <w:rPr>
          <w:rFonts w:hint="eastAsia" w:ascii="Calibri" w:hAnsi="Calibri" w:eastAsia="华文细黑"/>
          <w:sz w:val="24"/>
          <w:lang w:val="en-US" w:eastAsia="zh-CN"/>
        </w:rPr>
        <w:t>1</w:t>
      </w:r>
      <w:r>
        <w:rPr>
          <w:rFonts w:hint="eastAsia" w:ascii="Calibri" w:hAnsi="Calibri" w:eastAsia="华文细黑"/>
          <w:sz w:val="24"/>
          <w:lang w:eastAsia="zh-CN"/>
        </w:rPr>
        <w:t>）</w:t>
      </w:r>
      <w:r>
        <w:rPr>
          <w:rFonts w:hint="eastAsia" w:ascii="Calibri" w:hAnsi="Calibri" w:eastAsia="华文细黑"/>
          <w:sz w:val="24"/>
        </w:rPr>
        <w:t>采用现场实际操作方式。</w:t>
      </w:r>
    </w:p>
    <w:p>
      <w:pPr>
        <w:pStyle w:val="2"/>
        <w:jc w:val="both"/>
        <w:rPr>
          <w:rFonts w:hint="eastAsia" w:ascii="Calibri" w:hAnsi="Calibri" w:eastAsia="华文细黑" w:cs="Times New Roman"/>
          <w:kern w:val="2"/>
          <w:sz w:val="24"/>
          <w:szCs w:val="24"/>
          <w:lang w:val="en-US" w:eastAsia="zh-CN" w:bidi="ar-SA"/>
        </w:rPr>
      </w:pPr>
      <w:r>
        <w:rPr>
          <w:rFonts w:hint="eastAsia" w:hAnsi="Calibri" w:eastAsia="华文细黑"/>
          <w:sz w:val="24"/>
          <w:lang w:eastAsia="zh-CN"/>
        </w:rPr>
        <w:t>（</w:t>
      </w:r>
      <w:r>
        <w:rPr>
          <w:rFonts w:hint="eastAsia" w:hAnsi="Calibri" w:eastAsia="华文细黑"/>
          <w:sz w:val="24"/>
          <w:lang w:val="en-US" w:eastAsia="zh-CN"/>
        </w:rPr>
        <w:t>2</w:t>
      </w:r>
      <w:r>
        <w:rPr>
          <w:rFonts w:hint="eastAsia" w:hAnsi="Calibri" w:eastAsia="华文细黑"/>
          <w:sz w:val="24"/>
          <w:lang w:eastAsia="zh-CN"/>
        </w:rPr>
        <w:t>）</w:t>
      </w:r>
      <w:r>
        <w:rPr>
          <w:rFonts w:hint="eastAsia" w:ascii="Calibri" w:hAnsi="Calibri" w:eastAsia="华文细黑" w:cs="Times New Roman"/>
          <w:kern w:val="2"/>
          <w:sz w:val="24"/>
          <w:szCs w:val="24"/>
          <w:lang w:val="en-US" w:eastAsia="zh-CN" w:bidi="ar-SA"/>
        </w:rPr>
        <w:t>全国决赛前一个月公布样题</w:t>
      </w:r>
      <w:r>
        <w:rPr>
          <w:rFonts w:hint="eastAsia" w:ascii="Calibri" w:hAnsi="Calibri" w:eastAsia="华文细黑" w:cs="Times New Roman"/>
          <w:kern w:val="2"/>
          <w:sz w:val="24"/>
          <w:szCs w:val="24"/>
          <w:lang w:val="zh-CN" w:eastAsia="zh-CN" w:bidi="ar-SA"/>
        </w:rPr>
        <w:t>。</w:t>
      </w:r>
    </w:p>
    <w:p>
      <w:pPr>
        <w:spacing w:line="360" w:lineRule="auto"/>
        <w:ind w:firstLine="480" w:firstLineChars="200"/>
        <w:outlineLvl w:val="2"/>
        <w:rPr>
          <w:rFonts w:ascii="Calibri" w:hAnsi="Calibri" w:eastAsia="华文细黑"/>
          <w:sz w:val="24"/>
        </w:rPr>
      </w:pPr>
      <w:r>
        <w:rPr>
          <w:rFonts w:hint="eastAsia" w:ascii="Calibri" w:hAnsi="Calibri" w:eastAsia="华文细黑"/>
          <w:sz w:val="24"/>
        </w:rPr>
        <w:t>3.赛场提供的设备</w:t>
      </w:r>
    </w:p>
    <w:p>
      <w:pPr>
        <w:spacing w:line="360" w:lineRule="auto"/>
        <w:ind w:firstLine="480" w:firstLineChars="200"/>
        <w:rPr>
          <w:rFonts w:ascii="Calibri" w:hAnsi="Calibri" w:eastAsia="华文细黑"/>
          <w:sz w:val="24"/>
        </w:rPr>
      </w:pPr>
      <w:r>
        <w:rPr>
          <w:rFonts w:hint="eastAsia" w:ascii="Calibri" w:hAnsi="Calibri" w:eastAsia="华文细黑"/>
          <w:sz w:val="24"/>
        </w:rPr>
        <w:t>竞赛现场提供的设备型号及其具体参数待后续补充技术文件公布。</w:t>
      </w:r>
    </w:p>
    <w:p>
      <w:pPr>
        <w:spacing w:before="156" w:beforeLines="50" w:after="156" w:afterLines="50" w:line="360" w:lineRule="auto"/>
        <w:ind w:firstLine="602" w:firstLineChars="200"/>
        <w:outlineLvl w:val="0"/>
        <w:rPr>
          <w:rFonts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outlineLvl w:val="1"/>
        <w:rPr>
          <w:rFonts w:ascii="仿宋" w:hAnsi="仿宋" w:eastAsia="仿宋"/>
          <w:b/>
          <w:bCs/>
          <w:sz w:val="24"/>
        </w:rPr>
      </w:pPr>
      <w:r>
        <w:rPr>
          <w:rFonts w:hint="eastAsia" w:ascii="Calibri" w:hAnsi="Calibri" w:eastAsia="华文细黑"/>
          <w:b/>
          <w:bCs/>
          <w:sz w:val="24"/>
        </w:rPr>
        <w:t>（一）评判标准的制订原则</w:t>
      </w:r>
    </w:p>
    <w:p>
      <w:pPr>
        <w:spacing w:before="62" w:beforeLines="20" w:after="156" w:afterLines="50" w:line="360" w:lineRule="auto"/>
        <w:ind w:firstLine="480" w:firstLineChars="200"/>
        <w:rPr>
          <w:rFonts w:ascii="仿宋" w:hAnsi="仿宋" w:eastAsia="仿宋"/>
          <w:sz w:val="24"/>
        </w:rPr>
      </w:pPr>
      <w:r>
        <w:rPr>
          <w:rFonts w:hint="eastAsia" w:ascii="Calibri" w:hAnsi="Calibri" w:eastAsia="华文细黑"/>
          <w:sz w:val="24"/>
        </w:rPr>
        <w:t>参照《建筑信息模型技术员国家职业技能标准》高级(国家职业资格三级)的相关标准、规范要求进行评判，全面评价参赛选手的职业能力，本着科学严谨、公正公平、可操作性强的原则制定评判标准。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outlineLvl w:val="1"/>
        <w:rPr>
          <w:rFonts w:ascii="仿宋" w:hAnsi="仿宋" w:eastAsia="仿宋"/>
          <w:b/>
          <w:bCs/>
          <w:sz w:val="24"/>
        </w:rPr>
      </w:pPr>
      <w:r>
        <w:rPr>
          <w:rFonts w:hint="eastAsia" w:ascii="Calibri" w:hAnsi="Calibri" w:eastAsia="华文细黑"/>
          <w:b/>
          <w:bCs/>
          <w:sz w:val="24"/>
        </w:rPr>
        <w:t>（二）实际操作比赛评判细则（评判指标）</w:t>
      </w:r>
    </w:p>
    <w:p>
      <w:pPr>
        <w:snapToGrid w:val="0"/>
        <w:spacing w:before="62" w:beforeLines="20" w:line="360" w:lineRule="auto"/>
        <w:ind w:firstLine="480" w:firstLineChars="200"/>
        <w:rPr>
          <w:rFonts w:ascii="仿宋" w:hAnsi="仿宋" w:eastAsia="仿宋"/>
          <w:sz w:val="24"/>
          <w:lang w:val="zh-CN"/>
        </w:rPr>
      </w:pPr>
      <w:r>
        <w:rPr>
          <w:rFonts w:hint="eastAsia" w:ascii="Calibri" w:hAnsi="Calibri" w:eastAsia="华文细黑"/>
          <w:sz w:val="24"/>
          <w:lang w:val="zh-CN"/>
        </w:rPr>
        <w:t>评判比例如表1所示。</w:t>
      </w:r>
    </w:p>
    <w:p>
      <w:pPr>
        <w:spacing w:line="360" w:lineRule="auto"/>
        <w:ind w:firstLine="480" w:firstLineChars="200"/>
        <w:jc w:val="center"/>
        <w:outlineLvl w:val="2"/>
        <w:rPr>
          <w:rFonts w:ascii="Calibri" w:hAnsi="Calibri" w:eastAsia="华文细黑"/>
          <w:b/>
          <w:sz w:val="24"/>
          <w:lang w:val="zh-CN"/>
        </w:rPr>
      </w:pPr>
      <w:r>
        <w:rPr>
          <w:rFonts w:hint="eastAsia" w:ascii="Calibri" w:hAnsi="Calibri" w:eastAsia="华文细黑"/>
          <w:b/>
          <w:sz w:val="24"/>
          <w:lang w:val="zh-CN"/>
        </w:rPr>
        <w:t>表1.  评判指标</w:t>
      </w:r>
    </w:p>
    <w:tbl>
      <w:tblPr>
        <w:tblStyle w:val="13"/>
        <w:tblW w:w="8219" w:type="dxa"/>
        <w:tblInd w:w="113" w:type="dxa"/>
        <w:tblLayout w:type="fixed"/>
        <w:tblCellMar>
          <w:top w:w="0" w:type="dxa"/>
          <w:left w:w="108" w:type="dxa"/>
          <w:bottom w:w="0" w:type="dxa"/>
          <w:right w:w="67" w:type="dxa"/>
        </w:tblCellMar>
      </w:tblPr>
      <w:tblGrid>
        <w:gridCol w:w="3119"/>
        <w:gridCol w:w="703"/>
        <w:gridCol w:w="3704"/>
        <w:gridCol w:w="693"/>
      </w:tblGrid>
      <w:tr>
        <w:tblPrEx>
          <w:tblCellMar>
            <w:top w:w="0" w:type="dxa"/>
            <w:left w:w="108" w:type="dxa"/>
            <w:bottom w:w="0" w:type="dxa"/>
            <w:right w:w="67" w:type="dxa"/>
          </w:tblCellMar>
        </w:tblPrEx>
        <w:trPr>
          <w:trHeight w:val="49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华文细黑" w:hAnsi="华文细黑" w:eastAsia="华文细黑"/>
                <w:b/>
                <w:szCs w:val="21"/>
                <w:lang w:eastAsia="zh-Hans"/>
              </w:rPr>
            </w:pPr>
            <w:r>
              <w:rPr>
                <w:rFonts w:hint="eastAsia" w:ascii="华文细黑" w:hAnsi="华文细黑" w:eastAsia="华文细黑"/>
                <w:b/>
                <w:szCs w:val="21"/>
                <w:lang w:eastAsia="zh-Hans"/>
              </w:rPr>
              <w:t>一级指标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华文细黑" w:hAnsi="华文细黑" w:eastAsia="华文细黑"/>
                <w:b/>
                <w:szCs w:val="21"/>
                <w:lang w:eastAsia="zh-Hans"/>
              </w:rPr>
            </w:pPr>
            <w:r>
              <w:rPr>
                <w:rFonts w:hint="eastAsia" w:ascii="华文细黑" w:hAnsi="华文细黑" w:eastAsia="华文细黑"/>
                <w:b/>
                <w:szCs w:val="21"/>
                <w:lang w:eastAsia="zh-Hans"/>
              </w:rPr>
              <w:t>比例</w:t>
            </w: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华文细黑" w:hAnsi="华文细黑" w:eastAsia="华文细黑"/>
                <w:b/>
                <w:szCs w:val="21"/>
                <w:lang w:eastAsia="zh-Hans"/>
              </w:rPr>
            </w:pPr>
            <w:r>
              <w:rPr>
                <w:rFonts w:hint="eastAsia" w:ascii="华文细黑" w:hAnsi="华文细黑" w:eastAsia="华文细黑"/>
                <w:b/>
                <w:szCs w:val="21"/>
                <w:lang w:eastAsia="zh-Hans"/>
              </w:rPr>
              <w:t>二级指标</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华文细黑" w:hAnsi="华文细黑" w:eastAsia="华文细黑"/>
                <w:b/>
                <w:szCs w:val="21"/>
              </w:rPr>
            </w:pPr>
            <w:r>
              <w:rPr>
                <w:rFonts w:hint="eastAsia" w:ascii="华文细黑" w:hAnsi="华文细黑" w:eastAsia="华文细黑"/>
                <w:b/>
                <w:szCs w:val="21"/>
                <w:lang w:eastAsia="zh-Hans"/>
              </w:rPr>
              <w:t>比例</w:t>
            </w:r>
          </w:p>
        </w:tc>
      </w:tr>
      <w:tr>
        <w:tblPrEx>
          <w:tblCellMar>
            <w:top w:w="0" w:type="dxa"/>
            <w:left w:w="108" w:type="dxa"/>
            <w:bottom w:w="0" w:type="dxa"/>
            <w:right w:w="67" w:type="dxa"/>
          </w:tblCellMar>
        </w:tblPrEx>
        <w:trPr>
          <w:trHeight w:val="1062" w:hRule="atLeast"/>
        </w:trPr>
        <w:tc>
          <w:tcPr>
            <w:tcW w:w="31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1.BIM模型建立</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根据给出的图纸及相关要求完成建筑信息模型建立，并对模型进行成果输出。</w:t>
            </w:r>
          </w:p>
        </w:tc>
        <w:tc>
          <w:tcPr>
            <w:tcW w:w="703" w:type="dxa"/>
            <w:vMerge w:val="restart"/>
            <w:tcBorders>
              <w:top w:val="single" w:color="000000" w:sz="4" w:space="0"/>
              <w:left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70%</w:t>
            </w: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综合建模及成果输出</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60</w:t>
            </w:r>
            <w:r>
              <w:rPr>
                <w:rFonts w:asciiTheme="minorEastAsia" w:hAnsiTheme="minorEastAsia" w:eastAsiaTheme="minorEastAsia" w:cstheme="minorEastAsia"/>
                <w:szCs w:val="21"/>
              </w:rPr>
              <w:t>%</w:t>
            </w:r>
          </w:p>
        </w:tc>
      </w:tr>
      <w:tr>
        <w:tblPrEx>
          <w:tblCellMar>
            <w:top w:w="0" w:type="dxa"/>
            <w:left w:w="108" w:type="dxa"/>
            <w:bottom w:w="0" w:type="dxa"/>
            <w:right w:w="67" w:type="dxa"/>
          </w:tblCellMar>
        </w:tblPrEx>
        <w:trPr>
          <w:trHeight w:val="567" w:hRule="atLeast"/>
        </w:trPr>
        <w:tc>
          <w:tcPr>
            <w:tcW w:w="3119" w:type="dxa"/>
            <w:vMerge w:val="continue"/>
            <w:tcBorders>
              <w:top w:val="nil"/>
              <w:left w:val="single" w:color="000000" w:sz="4" w:space="0"/>
              <w:bottom w:val="nil"/>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p>
        </w:tc>
        <w:tc>
          <w:tcPr>
            <w:tcW w:w="703" w:type="dxa"/>
            <w:vMerge w:val="continue"/>
            <w:tcBorders>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p>
        </w:tc>
        <w:tc>
          <w:tcPr>
            <w:tcW w:w="370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族或体量构件建模</w:t>
            </w:r>
          </w:p>
        </w:tc>
        <w:tc>
          <w:tcPr>
            <w:tcW w:w="69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r>
              <w:rPr>
                <w:rFonts w:asciiTheme="minorEastAsia" w:hAnsiTheme="minorEastAsia" w:eastAsiaTheme="minorEastAsia" w:cstheme="minorEastAsia"/>
                <w:szCs w:val="21"/>
              </w:rPr>
              <w:t>%</w:t>
            </w:r>
          </w:p>
        </w:tc>
      </w:tr>
      <w:tr>
        <w:tblPrEx>
          <w:tblCellMar>
            <w:top w:w="0" w:type="dxa"/>
            <w:left w:w="108" w:type="dxa"/>
            <w:bottom w:w="0" w:type="dxa"/>
            <w:right w:w="67" w:type="dxa"/>
          </w:tblCellMar>
        </w:tblPrEx>
        <w:trPr>
          <w:trHeight w:val="567" w:hRule="atLeast"/>
        </w:trPr>
        <w:tc>
          <w:tcPr>
            <w:tcW w:w="3119" w:type="dxa"/>
            <w:vMerge w:val="restart"/>
            <w:tcBorders>
              <w:top w:val="single" w:color="000000" w:sz="4" w:space="0"/>
              <w:left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2.BIM模型应用</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在完成模型建立的基础上，根据</w:t>
            </w:r>
            <w:r>
              <w:rPr>
                <w:rFonts w:hint="eastAsia" w:asciiTheme="minorEastAsia" w:hAnsiTheme="minorEastAsia" w:eastAsiaTheme="minorEastAsia" w:cstheme="minorEastAsia"/>
                <w:szCs w:val="21"/>
                <w:lang w:eastAsia="zh-Hans"/>
              </w:rPr>
              <w:t>任务书</w:t>
            </w:r>
            <w:r>
              <w:rPr>
                <w:rFonts w:hint="eastAsia" w:asciiTheme="minorEastAsia" w:hAnsiTheme="minorEastAsia" w:eastAsiaTheme="minorEastAsia" w:cstheme="minorEastAsia"/>
                <w:szCs w:val="21"/>
              </w:rPr>
              <w:t>要求，进行相关BIM模型应用。</w:t>
            </w:r>
          </w:p>
        </w:tc>
        <w:tc>
          <w:tcPr>
            <w:tcW w:w="703" w:type="dxa"/>
            <w:vMerge w:val="restart"/>
            <w:tcBorders>
              <w:top w:val="single" w:color="000000" w:sz="4" w:space="0"/>
              <w:left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30%</w:t>
            </w: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模型协同及碰撞检测报告、实施方案、建模标准等相关技术文件输出</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asciiTheme="minorEastAsia" w:hAnsiTheme="minorEastAsia" w:eastAsiaTheme="minorEastAsia" w:cstheme="minorEastAsia"/>
                <w:szCs w:val="21"/>
              </w:rPr>
              <w:t>0%</w:t>
            </w:r>
          </w:p>
        </w:tc>
      </w:tr>
      <w:tr>
        <w:tblPrEx>
          <w:tblCellMar>
            <w:top w:w="0" w:type="dxa"/>
            <w:left w:w="108" w:type="dxa"/>
            <w:bottom w:w="0" w:type="dxa"/>
            <w:right w:w="67" w:type="dxa"/>
          </w:tblCellMar>
        </w:tblPrEx>
        <w:trPr>
          <w:trHeight w:val="567" w:hRule="atLeast"/>
        </w:trPr>
        <w:tc>
          <w:tcPr>
            <w:tcW w:w="3119" w:type="dxa"/>
            <w:vMerge w:val="continue"/>
            <w:tcBorders>
              <w:left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p>
        </w:tc>
        <w:tc>
          <w:tcPr>
            <w:tcW w:w="703" w:type="dxa"/>
            <w:vMerge w:val="continue"/>
            <w:tcBorders>
              <w:left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BIM模型的平、立、剖面视图输出</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r>
              <w:rPr>
                <w:rFonts w:asciiTheme="minorEastAsia" w:hAnsiTheme="minorEastAsia" w:eastAsiaTheme="minorEastAsia" w:cstheme="minorEastAsia"/>
                <w:szCs w:val="21"/>
              </w:rPr>
              <w:t>%</w:t>
            </w:r>
          </w:p>
        </w:tc>
      </w:tr>
      <w:tr>
        <w:tblPrEx>
          <w:tblCellMar>
            <w:top w:w="0" w:type="dxa"/>
            <w:left w:w="108" w:type="dxa"/>
            <w:bottom w:w="0" w:type="dxa"/>
            <w:right w:w="67" w:type="dxa"/>
          </w:tblCellMar>
        </w:tblPrEx>
        <w:trPr>
          <w:trHeight w:val="567" w:hRule="atLeast"/>
        </w:trPr>
        <w:tc>
          <w:tcPr>
            <w:tcW w:w="3119" w:type="dxa"/>
            <w:vMerge w:val="continue"/>
            <w:tcBorders>
              <w:left w:val="single" w:color="000000" w:sz="4" w:space="0"/>
              <w:bottom w:val="single" w:color="auto"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p>
        </w:tc>
        <w:tc>
          <w:tcPr>
            <w:tcW w:w="703" w:type="dxa"/>
            <w:vMerge w:val="continue"/>
            <w:tcBorders>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BIM造价成果输出</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r>
              <w:rPr>
                <w:rFonts w:asciiTheme="minorEastAsia" w:hAnsiTheme="minorEastAsia" w:eastAsiaTheme="minorEastAsia" w:cstheme="minorEastAsia"/>
                <w:szCs w:val="21"/>
              </w:rPr>
              <w:t>%</w:t>
            </w:r>
          </w:p>
        </w:tc>
      </w:tr>
      <w:tr>
        <w:tblPrEx>
          <w:tblCellMar>
            <w:top w:w="0" w:type="dxa"/>
            <w:left w:w="108" w:type="dxa"/>
            <w:bottom w:w="0" w:type="dxa"/>
            <w:right w:w="67" w:type="dxa"/>
          </w:tblCellMar>
        </w:tblPrEx>
        <w:trPr>
          <w:trHeight w:val="633" w:hRule="atLeast"/>
        </w:trPr>
        <w:tc>
          <w:tcPr>
            <w:tcW w:w="3119" w:type="dxa"/>
            <w:vMerge w:val="restart"/>
            <w:tcBorders>
              <w:top w:val="single" w:color="auto" w:sz="4" w:space="0"/>
              <w:left w:val="single" w:color="000000" w:sz="4" w:space="0"/>
              <w:right w:val="single" w:color="auto" w:sz="4" w:space="0"/>
            </w:tcBorders>
            <w:shd w:val="clear" w:color="auto" w:fill="auto"/>
            <w:noWrap/>
            <w:vAlign w:val="center"/>
          </w:tcPr>
          <w:p>
            <w:pPr>
              <w:pStyle w:val="3"/>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职业素养</w:t>
            </w:r>
          </w:p>
        </w:tc>
        <w:tc>
          <w:tcPr>
            <w:tcW w:w="703" w:type="dxa"/>
            <w:vMerge w:val="restart"/>
            <w:tcBorders>
              <w:top w:val="single" w:color="auto" w:sz="4" w:space="0"/>
              <w:left w:val="single" w:color="auto" w:sz="4" w:space="0"/>
              <w:right w:val="single" w:color="auto" w:sz="4" w:space="0"/>
            </w:tcBorders>
            <w:shd w:val="clear" w:color="auto" w:fill="auto"/>
            <w:noWrap/>
            <w:vAlign w:val="center"/>
          </w:tcPr>
          <w:p>
            <w:pPr>
              <w:pStyle w:val="3"/>
              <w:rPr>
                <w:rFonts w:asciiTheme="minorEastAsia" w:hAnsiTheme="minorEastAsia" w:eastAsiaTheme="minorEastAsia" w:cstheme="minorEastAsia"/>
                <w:szCs w:val="21"/>
              </w:rPr>
            </w:pPr>
            <w:r>
              <w:rPr>
                <w:rFonts w:hint="eastAsia" w:ascii="宋体" w:hAnsi="宋体" w:eastAsia="宋体" w:cs="宋体"/>
                <w:szCs w:val="21"/>
              </w:rPr>
              <w:t>在竞赛过程中考查</w:t>
            </w:r>
          </w:p>
        </w:tc>
        <w:tc>
          <w:tcPr>
            <w:tcW w:w="3704"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pStyle w:val="3"/>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职业技能操作规范</w:t>
            </w:r>
          </w:p>
        </w:tc>
        <w:tc>
          <w:tcPr>
            <w:tcW w:w="693"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pStyle w:val="3"/>
              <w:rPr>
                <w:rFonts w:asciiTheme="minorEastAsia" w:hAnsiTheme="minorEastAsia" w:eastAsiaTheme="minorEastAsia" w:cstheme="minorEastAsia"/>
                <w:szCs w:val="21"/>
              </w:rPr>
            </w:pPr>
          </w:p>
        </w:tc>
      </w:tr>
      <w:tr>
        <w:tblPrEx>
          <w:tblCellMar>
            <w:top w:w="0" w:type="dxa"/>
            <w:left w:w="108" w:type="dxa"/>
            <w:bottom w:w="0" w:type="dxa"/>
            <w:right w:w="67" w:type="dxa"/>
          </w:tblCellMar>
        </w:tblPrEx>
        <w:trPr>
          <w:trHeight w:val="567" w:hRule="atLeast"/>
        </w:trPr>
        <w:tc>
          <w:tcPr>
            <w:tcW w:w="3119" w:type="dxa"/>
            <w:vMerge w:val="continue"/>
            <w:tcBorders>
              <w:left w:val="single" w:color="000000" w:sz="4" w:space="0"/>
              <w:bottom w:val="single" w:color="auto" w:sz="4" w:space="0"/>
              <w:right w:val="single" w:color="auto" w:sz="4" w:space="0"/>
            </w:tcBorders>
            <w:shd w:val="clear" w:color="auto" w:fill="auto"/>
            <w:noWrap/>
            <w:vAlign w:val="center"/>
          </w:tcPr>
          <w:p>
            <w:pPr>
              <w:pStyle w:val="3"/>
              <w:jc w:val="left"/>
              <w:rPr>
                <w:rFonts w:asciiTheme="minorEastAsia" w:hAnsiTheme="minorEastAsia" w:eastAsiaTheme="minorEastAsia" w:cstheme="minorEastAsia"/>
                <w:szCs w:val="21"/>
              </w:rPr>
            </w:pPr>
          </w:p>
        </w:tc>
        <w:tc>
          <w:tcPr>
            <w:tcW w:w="703" w:type="dxa"/>
            <w:vMerge w:val="continue"/>
            <w:tcBorders>
              <w:left w:val="single" w:color="auto" w:sz="4" w:space="0"/>
              <w:bottom w:val="single" w:color="auto" w:sz="4" w:space="0"/>
              <w:right w:val="single" w:color="auto" w:sz="4" w:space="0"/>
            </w:tcBorders>
            <w:shd w:val="clear" w:color="auto" w:fill="auto"/>
            <w:noWrap/>
            <w:vAlign w:val="center"/>
          </w:tcPr>
          <w:p>
            <w:pPr>
              <w:pStyle w:val="3"/>
              <w:jc w:val="left"/>
              <w:rPr>
                <w:rFonts w:asciiTheme="minorEastAsia" w:hAnsiTheme="minorEastAsia" w:eastAsiaTheme="minorEastAsia" w:cstheme="minorEastAsia"/>
                <w:szCs w:val="21"/>
              </w:rPr>
            </w:pPr>
          </w:p>
        </w:tc>
        <w:tc>
          <w:tcPr>
            <w:tcW w:w="3704" w:type="dxa"/>
            <w:tcBorders>
              <w:top w:val="single" w:color="auto" w:sz="4" w:space="0"/>
              <w:left w:val="single" w:color="auto" w:sz="4" w:space="0"/>
              <w:bottom w:val="single" w:color="auto" w:sz="4" w:space="0"/>
              <w:right w:val="single" w:color="000000" w:sz="4" w:space="0"/>
            </w:tcBorders>
            <w:shd w:val="clear" w:color="auto" w:fill="auto"/>
            <w:noWrap/>
            <w:vAlign w:val="center"/>
          </w:tcPr>
          <w:p>
            <w:pPr>
              <w:pStyle w:val="3"/>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着装、安全、职业素养</w:t>
            </w:r>
          </w:p>
        </w:tc>
        <w:tc>
          <w:tcPr>
            <w:tcW w:w="693" w:type="dxa"/>
            <w:tcBorders>
              <w:top w:val="single" w:color="auto" w:sz="4" w:space="0"/>
              <w:left w:val="single" w:color="auto" w:sz="4" w:space="0"/>
              <w:bottom w:val="single" w:color="auto" w:sz="4" w:space="0"/>
              <w:right w:val="single" w:color="000000" w:sz="4" w:space="0"/>
            </w:tcBorders>
            <w:shd w:val="clear" w:color="auto" w:fill="auto"/>
            <w:noWrap/>
            <w:vAlign w:val="center"/>
          </w:tcPr>
          <w:p>
            <w:pPr>
              <w:pStyle w:val="3"/>
              <w:rPr>
                <w:rFonts w:asciiTheme="minorEastAsia" w:hAnsiTheme="minorEastAsia" w:eastAsiaTheme="minorEastAsia" w:cstheme="minorEastAsia"/>
                <w:szCs w:val="21"/>
              </w:rPr>
            </w:pPr>
          </w:p>
        </w:tc>
      </w:tr>
      <w:tr>
        <w:tblPrEx>
          <w:tblCellMar>
            <w:top w:w="0" w:type="dxa"/>
            <w:left w:w="108" w:type="dxa"/>
            <w:bottom w:w="0" w:type="dxa"/>
            <w:right w:w="67" w:type="dxa"/>
          </w:tblCellMar>
        </w:tblPrEx>
        <w:trPr>
          <w:trHeight w:val="567" w:hRule="atLeast"/>
        </w:trPr>
        <w:tc>
          <w:tcPr>
            <w:tcW w:w="3119" w:type="dxa"/>
            <w:tcBorders>
              <w:top w:val="single" w:color="auto" w:sz="4" w:space="0"/>
              <w:left w:val="single" w:color="000000" w:sz="4" w:space="0"/>
              <w:bottom w:val="single" w:color="auto" w:sz="4" w:space="0"/>
              <w:right w:val="single" w:color="auto" w:sz="4" w:space="0"/>
            </w:tcBorders>
            <w:shd w:val="clear" w:color="auto" w:fill="auto"/>
            <w:noWrap/>
            <w:vAlign w:val="center"/>
          </w:tcPr>
          <w:p>
            <w:pPr>
              <w:pStyle w:val="3"/>
              <w:jc w:val="left"/>
              <w:rPr>
                <w:rFonts w:asciiTheme="minorEastAsia" w:hAnsiTheme="minorEastAsia" w:eastAsiaTheme="minorEastAsia" w:cstheme="minorEastAsia"/>
                <w:szCs w:val="21"/>
                <w:lang w:eastAsia="zh-Hans"/>
              </w:rPr>
            </w:pPr>
            <w:r>
              <w:rPr>
                <w:rFonts w:hint="eastAsia" w:asciiTheme="minorEastAsia" w:hAnsiTheme="minorEastAsia" w:eastAsiaTheme="minorEastAsia" w:cstheme="minorEastAsia"/>
                <w:szCs w:val="21"/>
                <w:lang w:eastAsia="zh-Hans"/>
              </w:rPr>
              <w:t>总分</w:t>
            </w:r>
          </w:p>
        </w:tc>
        <w:tc>
          <w:tcPr>
            <w:tcW w:w="510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pStyle w:val="3"/>
              <w:rPr>
                <w:rFonts w:asciiTheme="minorEastAsia" w:hAnsiTheme="minorEastAsia" w:eastAsiaTheme="minorEastAsia" w:cstheme="minorEastAsia"/>
                <w:szCs w:val="21"/>
              </w:rPr>
            </w:pPr>
            <w:r>
              <w:rPr>
                <w:rFonts w:asciiTheme="minorEastAsia" w:hAnsiTheme="minorEastAsia" w:eastAsiaTheme="minorEastAsia" w:cstheme="minorEastAsia"/>
                <w:szCs w:val="21"/>
              </w:rPr>
              <w:t>100%</w:t>
            </w:r>
          </w:p>
        </w:tc>
      </w:tr>
    </w:tbl>
    <w:p>
      <w:pPr>
        <w:spacing w:before="62" w:beforeLines="20" w:after="156" w:afterLines="50" w:line="360" w:lineRule="auto"/>
        <w:ind w:firstLine="420" w:firstLineChars="200"/>
        <w:rPr>
          <w:rFonts w:hint="eastAsia" w:ascii="Calibri" w:hAnsi="Calibri" w:eastAsia="华文细黑"/>
          <w:sz w:val="21"/>
          <w:szCs w:val="21"/>
          <w:lang w:val="zh-CN"/>
        </w:rPr>
      </w:pPr>
      <w:r>
        <w:rPr>
          <w:rFonts w:hint="eastAsia" w:ascii="Calibri" w:hAnsi="Calibri" w:eastAsia="华文细黑"/>
          <w:sz w:val="21"/>
          <w:szCs w:val="21"/>
          <w:lang w:val="zh-CN"/>
        </w:rPr>
        <w:t>注：</w:t>
      </w:r>
      <w:r>
        <w:rPr>
          <w:rFonts w:hint="eastAsia" w:ascii="Calibri" w:hAnsi="Calibri" w:eastAsia="华文细黑"/>
          <w:sz w:val="21"/>
          <w:szCs w:val="21"/>
          <w:lang w:val="en-US" w:eastAsia="zh-CN"/>
        </w:rPr>
        <w:t>1.</w:t>
      </w:r>
      <w:r>
        <w:rPr>
          <w:rFonts w:hint="eastAsia" w:ascii="Calibri" w:hAnsi="Calibri" w:eastAsia="华文细黑"/>
          <w:sz w:val="21"/>
          <w:szCs w:val="21"/>
          <w:lang w:val="zh-CN"/>
        </w:rPr>
        <w:t>职业素养部分不具体配分，但在工作过程中违反有关规定从参赛选手实际操作竞赛总得分中扣除2-10分，严重违规者以致停止比赛，并取消本竞赛模块分数。</w:t>
      </w:r>
    </w:p>
    <w:p>
      <w:pPr>
        <w:spacing w:before="62" w:beforeLines="20" w:after="156" w:afterLines="50" w:line="360" w:lineRule="auto"/>
        <w:ind w:firstLine="840" w:firstLineChars="400"/>
        <w:rPr>
          <w:rFonts w:ascii="华文细黑" w:hAnsi="华文细黑" w:eastAsia="华文细黑"/>
          <w:bCs/>
          <w:sz w:val="24"/>
        </w:rPr>
      </w:pPr>
      <w:r>
        <w:rPr>
          <w:rFonts w:hint="eastAsia" w:ascii="Calibri" w:hAnsi="Calibri" w:eastAsia="华文细黑"/>
          <w:sz w:val="21"/>
          <w:szCs w:val="21"/>
          <w:lang w:val="zh-CN"/>
        </w:rPr>
        <w:t>2. 实际竞赛过程中各指标所占比例可能有所微调。</w:t>
      </w:r>
    </w:p>
    <w:p>
      <w:pPr>
        <w:tabs>
          <w:tab w:val="left" w:pos="3240"/>
        </w:tabs>
        <w:spacing w:line="360" w:lineRule="auto"/>
        <w:ind w:firstLine="480" w:firstLineChars="200"/>
        <w:outlineLvl w:val="1"/>
        <w:rPr>
          <w:rFonts w:ascii="仿宋" w:hAnsi="仿宋" w:eastAsia="仿宋"/>
          <w:b/>
          <w:bCs/>
          <w:sz w:val="24"/>
        </w:rPr>
      </w:pPr>
      <w:bookmarkStart w:id="0" w:name="_GoBack"/>
      <w:bookmarkEnd w:id="0"/>
      <w:r>
        <w:rPr>
          <w:rFonts w:hint="eastAsia" w:ascii="Calibri" w:hAnsi="Calibri" w:eastAsia="华文细黑"/>
          <w:b/>
          <w:bCs/>
          <w:sz w:val="24"/>
        </w:rPr>
        <w:t>（三）评判方法</w:t>
      </w:r>
    </w:p>
    <w:p>
      <w:pPr>
        <w:spacing w:before="62" w:beforeLines="20" w:after="156" w:afterLines="50" w:line="360" w:lineRule="auto"/>
        <w:ind w:firstLine="480" w:firstLineChars="200"/>
        <w:outlineLvl w:val="2"/>
        <w:rPr>
          <w:rFonts w:ascii="Calibri" w:hAnsi="Calibri" w:eastAsia="华文细黑"/>
          <w:sz w:val="24"/>
        </w:rPr>
      </w:pPr>
      <w:r>
        <w:rPr>
          <w:rFonts w:hint="eastAsia" w:ascii="Calibri" w:hAnsi="Calibri" w:eastAsia="华文细黑"/>
          <w:sz w:val="24"/>
        </w:rPr>
        <w:t>1.评判原则</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评判采取客观评判为主的方式，针对操作过程中在各个关键点所应呈现的技术指标、系统状态或实现的功能是否符合工作任务书的设计要求，列出各评判项、评判标准和测试方法以及技术指标进行评判。</w:t>
      </w:r>
    </w:p>
    <w:p>
      <w:pPr>
        <w:spacing w:before="62" w:beforeLines="20" w:after="156" w:afterLines="50" w:line="360" w:lineRule="auto"/>
        <w:ind w:firstLine="480" w:firstLineChars="200"/>
        <w:outlineLvl w:val="2"/>
        <w:rPr>
          <w:rFonts w:ascii="Calibri" w:hAnsi="Calibri" w:eastAsia="华文细黑"/>
          <w:sz w:val="24"/>
          <w:lang w:val="zh-CN"/>
        </w:rPr>
      </w:pPr>
      <w:r>
        <w:rPr>
          <w:rFonts w:hint="eastAsia" w:ascii="Calibri" w:hAnsi="Calibri" w:eastAsia="华文细黑"/>
          <w:sz w:val="24"/>
          <w:lang w:val="zh-CN"/>
        </w:rPr>
        <w:t>2.比赛流程</w:t>
      </w:r>
    </w:p>
    <w:p>
      <w:pPr>
        <w:spacing w:before="62" w:beforeLines="20" w:after="156" w:afterLines="50" w:line="360" w:lineRule="auto"/>
        <w:ind w:firstLine="480" w:firstLineChars="200"/>
        <w:rPr>
          <w:rFonts w:ascii="Calibri" w:hAnsi="Calibri" w:eastAsia="华文细黑"/>
          <w:sz w:val="24"/>
          <w:highlight w:val="yellow"/>
          <w:lang w:val="zh-CN"/>
        </w:rPr>
      </w:pPr>
      <w:r>
        <w:rPr>
          <w:rFonts w:hint="eastAsia" w:ascii="Calibri" w:hAnsi="Calibri" w:eastAsia="华文细黑"/>
          <w:sz w:val="24"/>
          <w:lang w:val="zh-CN"/>
        </w:rPr>
        <w:t>选手需要依据竞赛</w:t>
      </w:r>
      <w:r>
        <w:rPr>
          <w:rFonts w:hint="eastAsia" w:ascii="Calibri" w:hAnsi="Calibri" w:eastAsia="华文细黑"/>
          <w:sz w:val="24"/>
          <w:lang w:eastAsia="zh-Hans"/>
        </w:rPr>
        <w:t>任务书</w:t>
      </w:r>
      <w:r>
        <w:rPr>
          <w:rFonts w:hint="eastAsia" w:ascii="Calibri" w:hAnsi="Calibri" w:eastAsia="华文细黑"/>
          <w:sz w:val="24"/>
          <w:lang w:val="zh-CN"/>
        </w:rPr>
        <w:t>在一天之内完成全部比赛</w:t>
      </w:r>
      <w:r>
        <w:rPr>
          <w:rFonts w:hint="eastAsia" w:ascii="Calibri" w:hAnsi="Calibri" w:eastAsia="华文细黑"/>
          <w:sz w:val="24"/>
          <w:lang w:eastAsia="zh-Hans"/>
        </w:rPr>
        <w:t>内容</w:t>
      </w:r>
      <w:r>
        <w:rPr>
          <w:rFonts w:hint="eastAsia" w:ascii="Calibri" w:hAnsi="Calibri" w:eastAsia="华文细黑"/>
          <w:sz w:val="24"/>
          <w:lang w:val="zh-CN"/>
        </w:rPr>
        <w:t>。</w:t>
      </w:r>
    </w:p>
    <w:p>
      <w:pPr>
        <w:spacing w:before="62" w:beforeLines="20" w:after="156" w:afterLines="50" w:line="360" w:lineRule="auto"/>
        <w:ind w:firstLine="480" w:firstLineChars="200"/>
        <w:outlineLvl w:val="2"/>
        <w:rPr>
          <w:rFonts w:ascii="Calibri" w:hAnsi="Calibri" w:eastAsia="华文细黑"/>
          <w:sz w:val="24"/>
          <w:lang w:val="zh-CN"/>
        </w:rPr>
      </w:pPr>
      <w:r>
        <w:rPr>
          <w:rFonts w:hint="eastAsia" w:ascii="Calibri" w:hAnsi="Calibri" w:eastAsia="华文细黑"/>
          <w:sz w:val="24"/>
          <w:lang w:val="zh-CN"/>
        </w:rPr>
        <w:t>3.评分流程</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（1）选手确认比赛成果文件和提交材料。选手按要求</w:t>
      </w:r>
      <w:r>
        <w:rPr>
          <w:rFonts w:hint="eastAsia" w:ascii="Calibri" w:hAnsi="Calibri" w:eastAsia="华文细黑"/>
          <w:sz w:val="24"/>
          <w:lang w:eastAsia="zh-Hans"/>
        </w:rPr>
        <w:t>的</w:t>
      </w:r>
      <w:r>
        <w:rPr>
          <w:rFonts w:hint="eastAsia" w:ascii="Calibri" w:hAnsi="Calibri" w:eastAsia="华文细黑"/>
          <w:sz w:val="24"/>
          <w:lang w:val="zh-CN"/>
        </w:rPr>
        <w:t>存盘位置保存好比赛成果文件</w:t>
      </w:r>
      <w:r>
        <w:rPr>
          <w:rFonts w:hint="eastAsia" w:ascii="Calibri" w:hAnsi="Calibri" w:eastAsia="华文细黑"/>
          <w:sz w:val="24"/>
          <w:lang w:val="zh-CN" w:eastAsia="zh-Hans"/>
        </w:rPr>
        <w:t>。</w:t>
      </w:r>
      <w:r>
        <w:rPr>
          <w:rFonts w:hint="eastAsia" w:ascii="Calibri" w:hAnsi="Calibri" w:eastAsia="华文细黑"/>
          <w:sz w:val="24"/>
          <w:lang w:val="zh-CN"/>
        </w:rPr>
        <w:t>比赛结束时，选手应停止操作，在自己的比赛工位原地不动，禁止随意添加任何权限和密码，由裁判员到比赛工位与选手确认比赛成果文件和提交材料。选手离开比赛现场时，不要关闭任何设备的电源，不要退出系统当前状态和关闭系统。</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（2）监考员收集、归整选手的比赛成果文件。由监考员收集选手的比赛成果文件，按比赛工位号进行归整，并做好相应的保密措施，严禁泄露竞赛成果文件的选手信息。</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（3）裁判长组织裁判员对选手的比赛成果文件进行评分。每组裁判员只对每队选手所做成果的某一部分进行评分。为保持评分的一致性，同一项评分点要由同一组裁判员实施完成。</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4）处理违纪情况。在竞赛过程中，参赛选手如有违反安全操作、影响人身安全与健康、损坏竞赛设施等行为，立即停止比赛，后续成绩不进行计算。如发生不遵守比赛规则、不服从裁判裁决、扰乱赛场秩序以及舞弊等行为的，立即停止比赛，取消比赛资格。</w:t>
      </w:r>
    </w:p>
    <w:p>
      <w:pPr>
        <w:spacing w:before="62" w:beforeLines="20" w:after="156" w:afterLines="50" w:line="360" w:lineRule="auto"/>
        <w:ind w:firstLine="480" w:firstLineChars="200"/>
        <w:rPr>
          <w:rFonts w:ascii="仿宋" w:hAnsi="仿宋" w:eastAsia="仿宋"/>
          <w:sz w:val="24"/>
          <w:lang w:val="zh-CN"/>
        </w:rPr>
      </w:pPr>
      <w:r>
        <w:rPr>
          <w:rFonts w:hint="eastAsia" w:ascii="Calibri" w:hAnsi="Calibri" w:eastAsia="华文细黑"/>
          <w:sz w:val="24"/>
          <w:lang w:val="zh-CN"/>
        </w:rPr>
        <w:t>（5）保留选手的比赛成果文件到申诉截止时间。</w:t>
      </w:r>
    </w:p>
    <w:p>
      <w:pPr>
        <w:spacing w:before="62" w:beforeLines="20" w:after="156" w:afterLines="50" w:line="360" w:lineRule="auto"/>
        <w:ind w:firstLine="480" w:firstLineChars="200"/>
        <w:outlineLvl w:val="2"/>
        <w:rPr>
          <w:rFonts w:ascii="Calibri" w:hAnsi="Calibri" w:eastAsia="华文细黑"/>
          <w:sz w:val="24"/>
          <w:lang w:val="zh-CN"/>
        </w:rPr>
      </w:pPr>
      <w:r>
        <w:rPr>
          <w:rFonts w:hint="eastAsia" w:ascii="Calibri" w:hAnsi="Calibri" w:eastAsia="华文细黑"/>
          <w:sz w:val="24"/>
          <w:lang w:val="zh-CN"/>
        </w:rPr>
        <w:t>4.测量及评价方法</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rPr>
        <w:t>（1）</w:t>
      </w:r>
      <w:r>
        <w:rPr>
          <w:rFonts w:hint="eastAsia" w:ascii="Calibri" w:hAnsi="Calibri" w:eastAsia="华文细黑"/>
          <w:sz w:val="24"/>
          <w:lang w:eastAsia="zh-Hans"/>
        </w:rPr>
        <w:t>理论</w:t>
      </w:r>
      <w:r>
        <w:rPr>
          <w:rFonts w:hint="eastAsia" w:ascii="Calibri" w:hAnsi="Calibri" w:eastAsia="华文细黑"/>
          <w:sz w:val="24"/>
        </w:rPr>
        <w:t>客观题（选择判断题）由竞赛系统自动评判得分。</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w:t>
      </w:r>
      <w:r>
        <w:rPr>
          <w:rFonts w:hint="eastAsia" w:ascii="Calibri" w:hAnsi="Calibri" w:eastAsia="华文细黑"/>
          <w:sz w:val="24"/>
        </w:rPr>
        <w:t>2</w:t>
      </w:r>
      <w:r>
        <w:rPr>
          <w:rFonts w:hint="eastAsia" w:ascii="Calibri" w:hAnsi="Calibri" w:eastAsia="华文细黑"/>
          <w:sz w:val="24"/>
          <w:lang w:val="zh-CN"/>
        </w:rPr>
        <w:t>）</w:t>
      </w:r>
      <w:r>
        <w:rPr>
          <w:rFonts w:hint="eastAsia" w:ascii="Calibri" w:hAnsi="Calibri" w:eastAsia="华文细黑"/>
          <w:sz w:val="24"/>
        </w:rPr>
        <w:t>BIM建模客观评分，采用模型自动评分系统自动评分。</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lang w:val="zh-CN"/>
        </w:rPr>
        <w:t>（</w:t>
      </w:r>
      <w:r>
        <w:rPr>
          <w:rFonts w:hint="eastAsia" w:ascii="Calibri" w:hAnsi="Calibri" w:eastAsia="华文细黑"/>
          <w:sz w:val="24"/>
        </w:rPr>
        <w:t>3</w:t>
      </w:r>
      <w:r>
        <w:rPr>
          <w:rFonts w:hint="eastAsia" w:ascii="Calibri" w:hAnsi="Calibri" w:eastAsia="华文细黑"/>
          <w:sz w:val="24"/>
          <w:lang w:val="zh-CN"/>
        </w:rPr>
        <w:t>）</w:t>
      </w:r>
      <w:r>
        <w:rPr>
          <w:rFonts w:hint="eastAsia" w:ascii="Calibri" w:hAnsi="Calibri" w:eastAsia="华文细黑"/>
          <w:sz w:val="24"/>
        </w:rPr>
        <w:t>BIM模型</w:t>
      </w:r>
      <w:r>
        <w:rPr>
          <w:rFonts w:hint="eastAsia" w:ascii="Calibri" w:hAnsi="Calibri" w:eastAsia="华文细黑"/>
          <w:sz w:val="24"/>
          <w:lang w:eastAsia="zh-Hans"/>
        </w:rPr>
        <w:t>应用的</w:t>
      </w:r>
      <w:r>
        <w:rPr>
          <w:rFonts w:hint="eastAsia" w:ascii="Calibri" w:hAnsi="Calibri" w:eastAsia="华文细黑"/>
          <w:sz w:val="24"/>
        </w:rPr>
        <w:t>模型漫游、碰撞检测和出图部分采用</w:t>
      </w:r>
      <w:r>
        <w:rPr>
          <w:rFonts w:hint="eastAsia" w:ascii="Calibri" w:hAnsi="Calibri" w:eastAsia="华文细黑"/>
          <w:sz w:val="24"/>
          <w:lang w:val="zh-CN"/>
        </w:rPr>
        <w:t>主观评分，设</w:t>
      </w:r>
      <w:r>
        <w:rPr>
          <w:rFonts w:hint="eastAsia" w:ascii="Calibri" w:hAnsi="Calibri" w:eastAsia="华文细黑"/>
          <w:sz w:val="24"/>
        </w:rPr>
        <w:t>模型漫游、碰撞检测和出图三个裁判组</w:t>
      </w:r>
      <w:r>
        <w:rPr>
          <w:rFonts w:hint="eastAsia" w:ascii="Calibri" w:hAnsi="Calibri" w:eastAsia="华文细黑"/>
          <w:sz w:val="24"/>
          <w:lang w:val="zh-CN"/>
        </w:rPr>
        <w:t>，每组由至少</w:t>
      </w:r>
      <w:r>
        <w:rPr>
          <w:rFonts w:hint="eastAsia" w:ascii="Calibri" w:hAnsi="Calibri" w:eastAsia="华文细黑"/>
          <w:sz w:val="24"/>
        </w:rPr>
        <w:t>3</w:t>
      </w:r>
      <w:r>
        <w:rPr>
          <w:rFonts w:hint="eastAsia" w:ascii="Calibri" w:hAnsi="Calibri" w:eastAsia="华文细黑"/>
          <w:sz w:val="24"/>
          <w:lang w:val="zh-CN"/>
        </w:rPr>
        <w:t>名裁判构成。</w:t>
      </w:r>
      <w:r>
        <w:rPr>
          <w:rFonts w:hint="eastAsia" w:ascii="Calibri" w:hAnsi="Calibri" w:eastAsia="华文细黑"/>
          <w:sz w:val="24"/>
        </w:rPr>
        <w:t>每组裁判单独评分，取平均值作为该组的</w:t>
      </w:r>
      <w:r>
        <w:rPr>
          <w:rFonts w:ascii="Calibri" w:hAnsi="Calibri" w:eastAsia="华文细黑"/>
          <w:sz w:val="24"/>
        </w:rPr>
        <w:t>实际得分</w:t>
      </w:r>
      <w:r>
        <w:rPr>
          <w:rFonts w:hint="eastAsia" w:ascii="Calibri" w:hAnsi="Calibri" w:eastAsia="华文细黑"/>
          <w:sz w:val="24"/>
          <w:lang w:eastAsia="zh-Hans"/>
        </w:rPr>
        <w:t>，并乘以相应的权重，最终汇总计算出该参赛选手的</w:t>
      </w:r>
      <w:r>
        <w:rPr>
          <w:rFonts w:hint="eastAsia" w:ascii="Calibri" w:hAnsi="Calibri" w:eastAsia="华文细黑"/>
          <w:sz w:val="24"/>
        </w:rPr>
        <w:t>BIM模型</w:t>
      </w:r>
      <w:r>
        <w:rPr>
          <w:rFonts w:hint="eastAsia" w:ascii="Calibri" w:hAnsi="Calibri" w:eastAsia="华文细黑"/>
          <w:sz w:val="24"/>
          <w:lang w:eastAsia="zh-Hans"/>
        </w:rPr>
        <w:t>应用部分主观分</w:t>
      </w:r>
      <w:r>
        <w:rPr>
          <w:rFonts w:ascii="Calibri" w:hAnsi="Calibri" w:eastAsia="华文细黑"/>
          <w:sz w:val="24"/>
        </w:rPr>
        <w:t>。</w:t>
      </w:r>
    </w:p>
    <w:p>
      <w:pPr>
        <w:spacing w:before="62" w:beforeLines="20" w:after="156" w:afterLines="50" w:line="360" w:lineRule="auto"/>
        <w:ind w:firstLine="480" w:firstLineChars="200"/>
        <w:rPr>
          <w:rFonts w:ascii="Calibri" w:hAnsi="Calibri" w:eastAsia="华文细黑"/>
          <w:sz w:val="24"/>
          <w:highlight w:val="yellow"/>
        </w:rPr>
      </w:pPr>
      <w:r>
        <w:rPr>
          <w:rFonts w:hint="eastAsia" w:ascii="Calibri" w:hAnsi="Calibri" w:eastAsia="华文细黑"/>
          <w:sz w:val="24"/>
        </w:rPr>
        <w:t>（4）BIM造价</w:t>
      </w:r>
      <w:r>
        <w:rPr>
          <w:rFonts w:hint="eastAsia" w:ascii="Calibri" w:hAnsi="Calibri" w:eastAsia="华文细黑"/>
          <w:sz w:val="24"/>
          <w:lang w:eastAsia="zh-Hans"/>
        </w:rPr>
        <w:t>成果</w:t>
      </w:r>
      <w:r>
        <w:rPr>
          <w:rFonts w:hint="eastAsia" w:ascii="Calibri" w:hAnsi="Calibri" w:eastAsia="华文细黑"/>
          <w:sz w:val="24"/>
        </w:rPr>
        <w:t>部分，由竞赛系统自动评判得分，设置±3%误差，在误差范围内得分，误差范围外不得分。</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w:t>
      </w:r>
      <w:r>
        <w:rPr>
          <w:rFonts w:hint="eastAsia" w:ascii="Calibri" w:hAnsi="Calibri" w:eastAsia="华文细黑"/>
          <w:sz w:val="24"/>
        </w:rPr>
        <w:t>5</w:t>
      </w:r>
      <w:r>
        <w:rPr>
          <w:rFonts w:hint="eastAsia" w:ascii="Calibri" w:hAnsi="Calibri" w:eastAsia="华文细黑"/>
          <w:sz w:val="24"/>
          <w:lang w:val="zh-CN"/>
        </w:rPr>
        <w:t>）评分表由各组裁判员进行复核签字，经裁判长确认后交相应工作人员。</w:t>
      </w:r>
    </w:p>
    <w:p>
      <w:pPr>
        <w:spacing w:before="156" w:beforeLines="50" w:after="156" w:afterLines="50" w:line="360" w:lineRule="auto"/>
        <w:ind w:firstLine="602" w:firstLineChars="200"/>
        <w:outlineLvl w:val="0"/>
        <w:rPr>
          <w:rFonts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outlineLvl w:val="1"/>
        <w:rPr>
          <w:rFonts w:ascii="Calibri" w:hAnsi="Calibri" w:eastAsia="华文细黑"/>
          <w:b/>
          <w:bCs/>
          <w:sz w:val="24"/>
        </w:rPr>
      </w:pPr>
      <w:r>
        <w:rPr>
          <w:rFonts w:hint="eastAsia" w:ascii="Calibri" w:hAnsi="Calibri" w:eastAsia="华文细黑"/>
          <w:b/>
          <w:bCs/>
          <w:sz w:val="24"/>
        </w:rPr>
        <w:t>（一）竞赛场地</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1.竞赛工位</w:t>
      </w:r>
    </w:p>
    <w:p>
      <w:pPr>
        <w:spacing w:before="62" w:beforeLines="20" w:after="156" w:afterLines="50" w:line="360" w:lineRule="auto"/>
        <w:ind w:firstLine="480" w:firstLineChars="200"/>
        <w:rPr>
          <w:rFonts w:ascii="Calibri" w:hAnsi="Calibri" w:eastAsia="华文细黑"/>
          <w:sz w:val="24"/>
          <w:lang w:val="zh-CN" w:eastAsia="zh-Hans"/>
        </w:rPr>
      </w:pPr>
      <w:r>
        <w:rPr>
          <w:rFonts w:hint="eastAsia" w:ascii="Calibri" w:hAnsi="Calibri" w:eastAsia="华文细黑"/>
          <w:sz w:val="24"/>
          <w:lang w:val="zh-CN"/>
        </w:rPr>
        <w:t>每</w:t>
      </w:r>
      <w:r>
        <w:rPr>
          <w:rFonts w:hint="eastAsia" w:ascii="Calibri" w:hAnsi="Calibri" w:eastAsia="华文细黑"/>
          <w:sz w:val="24"/>
          <w:lang w:eastAsia="zh-Hans"/>
        </w:rPr>
        <w:t>位</w:t>
      </w:r>
      <w:r>
        <w:rPr>
          <w:rFonts w:hint="eastAsia" w:ascii="Calibri" w:hAnsi="Calibri" w:eastAsia="华文细黑"/>
          <w:sz w:val="24"/>
          <w:lang w:val="zh-CN"/>
        </w:rPr>
        <w:t>选手工位不小于2.0m</w:t>
      </w:r>
      <w:r>
        <w:rPr>
          <w:rFonts w:hint="eastAsia" w:ascii="Calibri" w:hAnsi="Calibri" w:eastAsia="华文细黑"/>
          <w:sz w:val="24"/>
          <w:vertAlign w:val="superscript"/>
          <w:lang w:val="zh-CN"/>
        </w:rPr>
        <w:t>2</w:t>
      </w:r>
      <w:r>
        <w:rPr>
          <w:rFonts w:hint="eastAsia" w:ascii="Calibri" w:hAnsi="Calibri" w:eastAsia="华文细黑"/>
          <w:sz w:val="24"/>
          <w:lang w:val="zh-CN"/>
        </w:rPr>
        <w:t>，标明工位号</w:t>
      </w:r>
      <w:r>
        <w:rPr>
          <w:rFonts w:hint="eastAsia" w:ascii="Calibri" w:hAnsi="Calibri" w:eastAsia="华文细黑"/>
          <w:sz w:val="24"/>
          <w:lang w:val="zh-CN" w:eastAsia="zh-Hans"/>
        </w:rPr>
        <w:t>。</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2.赛场设施</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竞赛赛场提供竞赛所需的操作台、椅子、计算机</w:t>
      </w:r>
      <w:r>
        <w:rPr>
          <w:rFonts w:hint="eastAsia" w:ascii="Calibri" w:hAnsi="Calibri" w:eastAsia="华文细黑"/>
          <w:sz w:val="24"/>
          <w:lang w:eastAsia="zh-Hans"/>
        </w:rPr>
        <w:t>及相关软件</w:t>
      </w:r>
      <w:r>
        <w:rPr>
          <w:rFonts w:hint="eastAsia" w:ascii="Calibri" w:hAnsi="Calibri" w:eastAsia="华文细黑"/>
          <w:sz w:val="24"/>
          <w:lang w:val="zh-CN"/>
        </w:rPr>
        <w:t>等设施，选手不得携带计算机进入竞赛区域。</w:t>
      </w:r>
    </w:p>
    <w:p>
      <w:pPr>
        <w:spacing w:before="62" w:beforeLines="20" w:after="156" w:afterLines="50" w:line="360" w:lineRule="auto"/>
        <w:ind w:firstLine="480" w:firstLineChars="200"/>
        <w:rPr>
          <w:rFonts w:ascii="Calibri" w:hAnsi="Calibri" w:eastAsia="华文细黑"/>
          <w:sz w:val="24"/>
          <w:lang w:val="zh-CN"/>
        </w:rPr>
      </w:pPr>
      <w:r>
        <w:rPr>
          <w:rFonts w:hint="eastAsia" w:ascii="Calibri" w:hAnsi="Calibri" w:eastAsia="华文细黑"/>
          <w:sz w:val="24"/>
          <w:lang w:val="zh-CN"/>
        </w:rPr>
        <w:t>3.竞赛设备及</w:t>
      </w:r>
      <w:r>
        <w:rPr>
          <w:rFonts w:hint="eastAsia" w:ascii="Calibri" w:hAnsi="Calibri" w:eastAsia="华文细黑"/>
          <w:sz w:val="24"/>
          <w:lang w:eastAsia="zh-Hans"/>
        </w:rPr>
        <w:t>软硬件</w:t>
      </w:r>
      <w:r>
        <w:rPr>
          <w:rFonts w:hint="eastAsia" w:ascii="Calibri" w:hAnsi="Calibri" w:eastAsia="华文细黑"/>
          <w:sz w:val="24"/>
          <w:lang w:val="zh-CN"/>
        </w:rPr>
        <w:t>技术参数详见后续技术文件。</w:t>
      </w:r>
    </w:p>
    <w:p>
      <w:pPr>
        <w:spacing w:before="156" w:beforeLines="50" w:after="156" w:afterLines="50" w:line="360" w:lineRule="auto"/>
        <w:ind w:firstLine="602" w:firstLineChars="200"/>
        <w:outlineLvl w:val="0"/>
        <w:rPr>
          <w:rFonts w:ascii="仿宋" w:hAnsi="仿宋" w:eastAsia="仿宋"/>
          <w:b/>
          <w:bCs/>
          <w:sz w:val="28"/>
          <w:szCs w:val="28"/>
        </w:rPr>
      </w:pPr>
      <w:r>
        <w:rPr>
          <w:rFonts w:hint="eastAsia" w:ascii="黑体" w:hAnsi="黑体" w:eastAsia="黑体" w:cs="黑体"/>
          <w:b/>
          <w:bCs/>
          <w:sz w:val="30"/>
          <w:szCs w:val="30"/>
        </w:rPr>
        <w:t>七、竞赛安全</w:t>
      </w:r>
    </w:p>
    <w:p>
      <w:pPr>
        <w:ind w:firstLine="480"/>
        <w:outlineLvl w:val="1"/>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1.赛场所有人员（赛场管理与组织人员、裁判员、参赛人员以及观摩人员）不得在竞赛现场内外吸烟，不听劝阻者将通报批评或清退比赛现场，造成严重后果的将依法处理。</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2.未经允许不得使用和移动竞赛场内的任何设施设备（包括消防器材等），工具使用后放回原处。</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3.选手在竞赛中必须遵守赛场的各项规章制度和操作规程，安全、合理</w:t>
      </w:r>
      <w:r>
        <w:rPr>
          <w:rFonts w:hint="eastAsia" w:ascii="Calibri" w:hAnsi="Calibri" w:eastAsia="华文细黑"/>
          <w:sz w:val="24"/>
          <w:lang w:eastAsia="zh-Hans"/>
        </w:rPr>
        <w:t>地</w:t>
      </w:r>
      <w:r>
        <w:rPr>
          <w:rFonts w:hint="eastAsia" w:ascii="Calibri" w:hAnsi="Calibri" w:eastAsia="华文细黑"/>
          <w:sz w:val="24"/>
        </w:rPr>
        <w:t>使用各种设施设备和工具，出现严重违章操作设备的，裁判视情节轻重进行批评指正或终止比赛。</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4.选手参加实际操作竞赛前，应认真学习竞赛项目安全操作规程。竞赛中如发现问题应及时解决，无法解决的问题应及时向裁判员报告，裁判员视情况予以判定，并协调处理。</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5.参赛选手不得触动非竞赛用仪器设备，对竞赛仪器设备造成损坏，由当事人承担赔偿责任（视情节而定），并通报批评；参赛选手若出现恶意破坏仪器设备等严重情节的将依法处理。</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6.比赛期间所有进入赛区车辆、人员需凭证入内，并主动向工作人员出示。</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7.赛前，选手要认真阅读竞赛服务指南和秩序册。</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8.各类人员须严格遵守赛场规则，严禁携带比赛严令禁止的物品入内。</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9.严禁携带易燃易爆等危险品入内。</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10.赛场必须留有安全通道，必须配备灭火设备，赛场应具备良好的通风、照明和操作空间</w:t>
      </w:r>
      <w:r>
        <w:rPr>
          <w:rFonts w:hint="eastAsia" w:ascii="Calibri" w:hAnsi="Calibri" w:eastAsia="华文细黑"/>
          <w:sz w:val="24"/>
          <w:lang w:eastAsia="zh-Hans"/>
        </w:rPr>
        <w:t>等</w:t>
      </w:r>
      <w:r>
        <w:rPr>
          <w:rFonts w:hint="eastAsia" w:ascii="Calibri" w:hAnsi="Calibri" w:eastAsia="华文细黑"/>
          <w:sz w:val="24"/>
        </w:rPr>
        <w:t>条件。同时做好竞赛安全、健康和公共卫生及突发事件预防与应急处理等工作。</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11.安保人员发现安全隐患要立即报告赛场负责人员。</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12.如遇突发严重事件，在安保人员指挥下，迅速按紧急疏散路线撤离现场。</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13.赛场必须配备医护人员和</w:t>
      </w:r>
      <w:r>
        <w:rPr>
          <w:rFonts w:hint="eastAsia" w:ascii="Calibri" w:hAnsi="Calibri" w:eastAsia="华文细黑"/>
          <w:sz w:val="24"/>
          <w:lang w:eastAsia="zh-Hans"/>
        </w:rPr>
        <w:t>必需</w:t>
      </w:r>
      <w:r>
        <w:rPr>
          <w:rFonts w:hint="eastAsia" w:ascii="Calibri" w:hAnsi="Calibri" w:eastAsia="华文细黑"/>
          <w:sz w:val="24"/>
        </w:rPr>
        <w:t>的药品。</w:t>
      </w:r>
    </w:p>
    <w:p>
      <w:pPr>
        <w:ind w:firstLine="480"/>
        <w:outlineLvl w:val="1"/>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1.选手严格执行工作程序、工作规范、工作文件和安全操作规程。着装整洁，保持工作环境清洁有序，文明</w:t>
      </w:r>
      <w:r>
        <w:rPr>
          <w:rFonts w:hint="eastAsia" w:ascii="Calibri" w:hAnsi="Calibri" w:eastAsia="华文细黑"/>
          <w:sz w:val="24"/>
          <w:lang w:eastAsia="zh-Hans"/>
        </w:rPr>
        <w:t>实操</w:t>
      </w:r>
      <w:r>
        <w:rPr>
          <w:rFonts w:hint="eastAsia" w:ascii="Calibri" w:hAnsi="Calibri" w:eastAsia="华文细黑"/>
          <w:sz w:val="24"/>
        </w:rPr>
        <w:t>。</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2.选手必须了解比赛场地环境布局，包括：工作场地</w:t>
      </w:r>
      <w:r>
        <w:rPr>
          <w:rFonts w:hint="eastAsia" w:ascii="Calibri" w:hAnsi="Calibri" w:eastAsia="华文细黑"/>
          <w:sz w:val="24"/>
          <w:lang w:eastAsia="zh-Hans"/>
        </w:rPr>
        <w:t>的</w:t>
      </w:r>
      <w:r>
        <w:rPr>
          <w:rFonts w:hint="eastAsia" w:ascii="Calibri" w:hAnsi="Calibri" w:eastAsia="华文细黑"/>
          <w:sz w:val="24"/>
        </w:rPr>
        <w:t>畅通</w:t>
      </w:r>
      <w:r>
        <w:rPr>
          <w:rFonts w:hint="eastAsia" w:ascii="Calibri" w:hAnsi="Calibri" w:eastAsia="华文细黑"/>
          <w:sz w:val="24"/>
          <w:lang w:eastAsia="zh-Hans"/>
        </w:rPr>
        <w:t>路线、</w:t>
      </w:r>
      <w:r>
        <w:rPr>
          <w:rFonts w:hint="eastAsia" w:ascii="Calibri" w:hAnsi="Calibri" w:eastAsia="华文细黑"/>
          <w:sz w:val="24"/>
        </w:rPr>
        <w:t>安全稳定性，设备财产的保管</w:t>
      </w:r>
      <w:r>
        <w:rPr>
          <w:rFonts w:hint="eastAsia" w:ascii="Calibri" w:hAnsi="Calibri" w:eastAsia="华文细黑"/>
          <w:sz w:val="24"/>
          <w:lang w:eastAsia="zh-Hans"/>
        </w:rPr>
        <w:t>划分区域</w:t>
      </w:r>
      <w:r>
        <w:rPr>
          <w:rFonts w:hint="eastAsia" w:ascii="Calibri" w:hAnsi="Calibri" w:eastAsia="华文细黑"/>
          <w:sz w:val="24"/>
        </w:rPr>
        <w:t>，紧急疏散通道的位置，疾病的应急措施等。</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3.选手必须了解比赛工位的工具和设备的摆放，供电方式，工作台和桌椅的安全稳定性等。</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4.了解场地和设备的电源电压，供电位置，供电功率以及电源线插接和安放的安全性，供电是否正常，安全用电注意事项等。禁止随意插拔电源，防止造成线路短路。</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5.比赛前禁止饮酒，比赛期间禁止吸烟，禁止在操作设备前饮水、饮食，严禁边操作边饮食。</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6.操作竞赛设备时，做好防静电处理，防止人身带有静电操作电子设备，避免静电对设备造成损坏。</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7.不允许带电拔插串口电缆、设备模块、键盘、鼠标、显示器以及其他计算机外设通信接口，以免造成损坏。拔插电缆时要缓慢轻柔，不允许野蛮操作，避免造成设备损坏。</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8.工作现场保持良好的卫生环境，工具和设备摆放整齐有序，废弃物要及时打扫，保持现场整洁。</w:t>
      </w:r>
    </w:p>
    <w:p>
      <w:pPr>
        <w:spacing w:before="62" w:beforeLines="20" w:after="156" w:afterLines="50" w:line="360" w:lineRule="auto"/>
        <w:ind w:firstLine="480" w:firstLineChars="200"/>
        <w:rPr>
          <w:rFonts w:ascii="Calibri" w:hAnsi="Calibri" w:eastAsia="华文细黑"/>
          <w:sz w:val="24"/>
        </w:rPr>
      </w:pPr>
      <w:r>
        <w:rPr>
          <w:rFonts w:hint="eastAsia" w:ascii="Calibri" w:hAnsi="Calibri" w:eastAsia="华文细黑"/>
          <w:sz w:val="24"/>
        </w:rPr>
        <w:t>9.按照要求及时做好各项文件的保存。如果发现设备工作过热出现不正常的运行情况时，应</w:t>
      </w:r>
      <w:r>
        <w:rPr>
          <w:rFonts w:hint="eastAsia" w:ascii="Calibri" w:hAnsi="Calibri" w:eastAsia="华文细黑"/>
          <w:sz w:val="24"/>
          <w:lang w:eastAsia="zh-Hans"/>
        </w:rPr>
        <w:t>立即上报工作人员</w:t>
      </w:r>
      <w:r>
        <w:rPr>
          <w:rFonts w:hint="eastAsia" w:ascii="Calibri" w:hAnsi="Calibri" w:eastAsia="华文细黑"/>
          <w:sz w:val="24"/>
        </w:rPr>
        <w:t>。</w:t>
      </w:r>
    </w:p>
    <w:p>
      <w:pPr>
        <w:spacing w:before="62" w:beforeLines="20" w:after="156" w:afterLines="50" w:line="360" w:lineRule="auto"/>
        <w:ind w:firstLine="480" w:firstLineChars="200"/>
        <w:rPr>
          <w:lang w:val="zh-CN"/>
        </w:rPr>
      </w:pPr>
      <w:r>
        <w:rPr>
          <w:rFonts w:hint="eastAsia" w:ascii="Calibri" w:hAnsi="Calibri" w:eastAsia="华文细黑"/>
          <w:sz w:val="24"/>
        </w:rPr>
        <w:t>10.选手严禁使用任何移动存储设备，严禁拆解比赛设施，严禁删除竞赛设备中的软件，严禁在竞赛设备上随意添加管理权限和登录密码。</w:t>
      </w:r>
    </w:p>
    <w:p>
      <w:pPr>
        <w:spacing w:line="360" w:lineRule="auto"/>
        <w:ind w:firstLine="602" w:firstLineChars="200"/>
        <w:outlineLvl w:val="0"/>
        <w:rPr>
          <w:rFonts w:ascii="仿宋" w:hAnsi="仿宋" w:eastAsia="仿宋"/>
          <w:b/>
          <w:bCs/>
          <w:sz w:val="28"/>
          <w:szCs w:val="28"/>
        </w:rPr>
      </w:pPr>
      <w:r>
        <w:rPr>
          <w:rFonts w:hint="eastAsia" w:ascii="黑体" w:hAnsi="黑体" w:eastAsia="黑体" w:cs="黑体"/>
          <w:b/>
          <w:bCs/>
          <w:sz w:val="30"/>
          <w:szCs w:val="30"/>
        </w:rPr>
        <w:t>八、开放赛场</w:t>
      </w:r>
    </w:p>
    <w:p>
      <w:pPr>
        <w:spacing w:line="360" w:lineRule="auto"/>
        <w:ind w:firstLine="480" w:firstLineChars="200"/>
        <w:rPr>
          <w:rFonts w:ascii="Calibri" w:hAnsi="Calibri" w:eastAsia="华文细黑"/>
          <w:sz w:val="24"/>
          <w:lang w:val="zh-CN"/>
        </w:rPr>
      </w:pPr>
      <w:r>
        <w:rPr>
          <w:rFonts w:hint="eastAsia" w:ascii="Calibri" w:hAnsi="Calibri" w:eastAsia="华文细黑"/>
          <w:sz w:val="24"/>
          <w:lang w:val="zh-CN"/>
        </w:rPr>
        <w:t>（一）比赛承办方应在不影响选手比赛和裁判员工作的前提下提供开放式场地供参观者观摩。</w:t>
      </w:r>
    </w:p>
    <w:p>
      <w:pPr>
        <w:spacing w:line="360" w:lineRule="auto"/>
        <w:ind w:firstLine="480" w:firstLineChars="200"/>
        <w:rPr>
          <w:rFonts w:ascii="Calibri" w:hAnsi="Calibri" w:eastAsia="华文细黑"/>
          <w:sz w:val="24"/>
          <w:lang w:val="zh-CN"/>
        </w:rPr>
      </w:pPr>
      <w:r>
        <w:rPr>
          <w:rFonts w:hint="eastAsia" w:ascii="Calibri" w:hAnsi="Calibri" w:eastAsia="华文细黑"/>
          <w:sz w:val="24"/>
          <w:lang w:val="zh-CN"/>
        </w:rPr>
        <w:t>（二）比赛承办方应积极做好竞赛的宣传工作。</w:t>
      </w:r>
    </w:p>
    <w:p>
      <w:pPr>
        <w:spacing w:line="360" w:lineRule="auto"/>
        <w:ind w:firstLine="480" w:firstLineChars="200"/>
        <w:rPr>
          <w:rFonts w:ascii="Calibri" w:hAnsi="Calibri" w:eastAsia="华文细黑"/>
          <w:sz w:val="24"/>
          <w:lang w:val="zh-CN"/>
        </w:rPr>
      </w:pPr>
      <w:r>
        <w:rPr>
          <w:rFonts w:hint="eastAsia" w:ascii="Calibri" w:hAnsi="Calibri" w:eastAsia="华文细黑"/>
          <w:sz w:val="24"/>
          <w:lang w:val="zh-CN"/>
        </w:rPr>
        <w:t>（三）参观人员需经过登记审核，</w:t>
      </w:r>
      <w:r>
        <w:rPr>
          <w:rFonts w:hint="eastAsia" w:ascii="Calibri" w:hAnsi="Calibri" w:eastAsia="华文细黑"/>
          <w:sz w:val="24"/>
          <w:lang w:eastAsia="zh-Hans"/>
        </w:rPr>
        <w:t>同过</w:t>
      </w:r>
      <w:r>
        <w:rPr>
          <w:rFonts w:hint="eastAsia" w:ascii="Calibri" w:hAnsi="Calibri" w:eastAsia="华文细黑"/>
          <w:sz w:val="24"/>
          <w:lang w:val="zh-CN"/>
        </w:rPr>
        <w:t>安检和携带的物品检查后，方可进入赛场。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4</w:t>
    </w:r>
    <w:r>
      <w:rPr>
        <w:rStyle w:val="15"/>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41892"/>
    <w:rsid w:val="000420A9"/>
    <w:rsid w:val="0004731D"/>
    <w:rsid w:val="00052B0C"/>
    <w:rsid w:val="00062E92"/>
    <w:rsid w:val="00077B4B"/>
    <w:rsid w:val="00083C06"/>
    <w:rsid w:val="00086488"/>
    <w:rsid w:val="000868BD"/>
    <w:rsid w:val="00091ED1"/>
    <w:rsid w:val="00095CA3"/>
    <w:rsid w:val="000A30FE"/>
    <w:rsid w:val="000B419E"/>
    <w:rsid w:val="000B45C0"/>
    <w:rsid w:val="000B5433"/>
    <w:rsid w:val="000C2E26"/>
    <w:rsid w:val="000D173E"/>
    <w:rsid w:val="000D760B"/>
    <w:rsid w:val="000E1419"/>
    <w:rsid w:val="000E1D97"/>
    <w:rsid w:val="000E4EF6"/>
    <w:rsid w:val="000E752F"/>
    <w:rsid w:val="000F2874"/>
    <w:rsid w:val="000F74F7"/>
    <w:rsid w:val="001011BB"/>
    <w:rsid w:val="00106CCF"/>
    <w:rsid w:val="00107F03"/>
    <w:rsid w:val="0011082F"/>
    <w:rsid w:val="00115F79"/>
    <w:rsid w:val="00120855"/>
    <w:rsid w:val="00130676"/>
    <w:rsid w:val="00136D05"/>
    <w:rsid w:val="0014051B"/>
    <w:rsid w:val="00144382"/>
    <w:rsid w:val="00144B88"/>
    <w:rsid w:val="001451F4"/>
    <w:rsid w:val="00147105"/>
    <w:rsid w:val="00147225"/>
    <w:rsid w:val="00163348"/>
    <w:rsid w:val="00170AAF"/>
    <w:rsid w:val="0017239A"/>
    <w:rsid w:val="00180DBC"/>
    <w:rsid w:val="00183116"/>
    <w:rsid w:val="00185085"/>
    <w:rsid w:val="00187049"/>
    <w:rsid w:val="00191CEE"/>
    <w:rsid w:val="00193D97"/>
    <w:rsid w:val="00196532"/>
    <w:rsid w:val="001A2943"/>
    <w:rsid w:val="001A3456"/>
    <w:rsid w:val="001A3B51"/>
    <w:rsid w:val="001A4B75"/>
    <w:rsid w:val="001B02F1"/>
    <w:rsid w:val="001B38DF"/>
    <w:rsid w:val="001B66B4"/>
    <w:rsid w:val="001B6851"/>
    <w:rsid w:val="001D02F2"/>
    <w:rsid w:val="001D1586"/>
    <w:rsid w:val="001D4BB7"/>
    <w:rsid w:val="001D55DD"/>
    <w:rsid w:val="001D72A3"/>
    <w:rsid w:val="001D784B"/>
    <w:rsid w:val="001E53C6"/>
    <w:rsid w:val="001E6E59"/>
    <w:rsid w:val="001F280B"/>
    <w:rsid w:val="001F38FA"/>
    <w:rsid w:val="001F6034"/>
    <w:rsid w:val="001F60A1"/>
    <w:rsid w:val="001F7385"/>
    <w:rsid w:val="002010A9"/>
    <w:rsid w:val="00214CDA"/>
    <w:rsid w:val="00217585"/>
    <w:rsid w:val="002175A2"/>
    <w:rsid w:val="0022055F"/>
    <w:rsid w:val="0022228C"/>
    <w:rsid w:val="00223B83"/>
    <w:rsid w:val="00224256"/>
    <w:rsid w:val="00233932"/>
    <w:rsid w:val="00240DD9"/>
    <w:rsid w:val="00252D99"/>
    <w:rsid w:val="0025404F"/>
    <w:rsid w:val="00255D46"/>
    <w:rsid w:val="00264A38"/>
    <w:rsid w:val="0026515D"/>
    <w:rsid w:val="00275BA1"/>
    <w:rsid w:val="00280389"/>
    <w:rsid w:val="00286638"/>
    <w:rsid w:val="00287F39"/>
    <w:rsid w:val="00287F68"/>
    <w:rsid w:val="00297C25"/>
    <w:rsid w:val="002A0EA7"/>
    <w:rsid w:val="002A124E"/>
    <w:rsid w:val="002A444C"/>
    <w:rsid w:val="002A6850"/>
    <w:rsid w:val="002B17CD"/>
    <w:rsid w:val="002B44E7"/>
    <w:rsid w:val="002B5288"/>
    <w:rsid w:val="002B5B79"/>
    <w:rsid w:val="002B669E"/>
    <w:rsid w:val="002B6C5A"/>
    <w:rsid w:val="002C14E2"/>
    <w:rsid w:val="002C43DE"/>
    <w:rsid w:val="002D4A86"/>
    <w:rsid w:val="002D77AB"/>
    <w:rsid w:val="002E23DE"/>
    <w:rsid w:val="002E5F6E"/>
    <w:rsid w:val="002F05A7"/>
    <w:rsid w:val="002F3FAB"/>
    <w:rsid w:val="00301D46"/>
    <w:rsid w:val="00303040"/>
    <w:rsid w:val="003034E1"/>
    <w:rsid w:val="0032326F"/>
    <w:rsid w:val="00334844"/>
    <w:rsid w:val="00337FF4"/>
    <w:rsid w:val="003504F0"/>
    <w:rsid w:val="003505C4"/>
    <w:rsid w:val="00353162"/>
    <w:rsid w:val="00354696"/>
    <w:rsid w:val="00355FC8"/>
    <w:rsid w:val="00365E6A"/>
    <w:rsid w:val="00370392"/>
    <w:rsid w:val="003753A2"/>
    <w:rsid w:val="003832E9"/>
    <w:rsid w:val="003941BA"/>
    <w:rsid w:val="003A7CEC"/>
    <w:rsid w:val="003B04D2"/>
    <w:rsid w:val="003B1B4D"/>
    <w:rsid w:val="003B416E"/>
    <w:rsid w:val="003B6D0F"/>
    <w:rsid w:val="003D11B9"/>
    <w:rsid w:val="003D46F0"/>
    <w:rsid w:val="003E141C"/>
    <w:rsid w:val="003E2323"/>
    <w:rsid w:val="003E4126"/>
    <w:rsid w:val="003E6B73"/>
    <w:rsid w:val="003F0B7B"/>
    <w:rsid w:val="003F2147"/>
    <w:rsid w:val="00400329"/>
    <w:rsid w:val="0040151F"/>
    <w:rsid w:val="00401582"/>
    <w:rsid w:val="00404DB7"/>
    <w:rsid w:val="00404F07"/>
    <w:rsid w:val="0041141A"/>
    <w:rsid w:val="00411717"/>
    <w:rsid w:val="004136E4"/>
    <w:rsid w:val="00415F79"/>
    <w:rsid w:val="00416719"/>
    <w:rsid w:val="004202A5"/>
    <w:rsid w:val="004320A4"/>
    <w:rsid w:val="004367B8"/>
    <w:rsid w:val="00441E76"/>
    <w:rsid w:val="00445217"/>
    <w:rsid w:val="0044526C"/>
    <w:rsid w:val="0044581F"/>
    <w:rsid w:val="00451875"/>
    <w:rsid w:val="00461AAA"/>
    <w:rsid w:val="00461C99"/>
    <w:rsid w:val="0047182D"/>
    <w:rsid w:val="00472EEF"/>
    <w:rsid w:val="00475124"/>
    <w:rsid w:val="0047720B"/>
    <w:rsid w:val="00483312"/>
    <w:rsid w:val="00484B93"/>
    <w:rsid w:val="00486AFA"/>
    <w:rsid w:val="004902CF"/>
    <w:rsid w:val="0049129E"/>
    <w:rsid w:val="004A43B7"/>
    <w:rsid w:val="004A6CF0"/>
    <w:rsid w:val="004B694F"/>
    <w:rsid w:val="004C175D"/>
    <w:rsid w:val="004C1B8D"/>
    <w:rsid w:val="004C38F4"/>
    <w:rsid w:val="004C5B3C"/>
    <w:rsid w:val="004D0C44"/>
    <w:rsid w:val="004E66BB"/>
    <w:rsid w:val="004F272E"/>
    <w:rsid w:val="00502293"/>
    <w:rsid w:val="00502488"/>
    <w:rsid w:val="005025C3"/>
    <w:rsid w:val="00503AC0"/>
    <w:rsid w:val="00511955"/>
    <w:rsid w:val="00516426"/>
    <w:rsid w:val="00527F23"/>
    <w:rsid w:val="005307B8"/>
    <w:rsid w:val="00534B6E"/>
    <w:rsid w:val="00536685"/>
    <w:rsid w:val="005467CF"/>
    <w:rsid w:val="00546847"/>
    <w:rsid w:val="00546CB5"/>
    <w:rsid w:val="00547936"/>
    <w:rsid w:val="005518FD"/>
    <w:rsid w:val="005568DF"/>
    <w:rsid w:val="00560446"/>
    <w:rsid w:val="00564B75"/>
    <w:rsid w:val="00567E52"/>
    <w:rsid w:val="00571402"/>
    <w:rsid w:val="0057213C"/>
    <w:rsid w:val="005724E3"/>
    <w:rsid w:val="005806F4"/>
    <w:rsid w:val="0058468A"/>
    <w:rsid w:val="00590C09"/>
    <w:rsid w:val="00592483"/>
    <w:rsid w:val="00593605"/>
    <w:rsid w:val="00595EC2"/>
    <w:rsid w:val="00596CBF"/>
    <w:rsid w:val="00597A12"/>
    <w:rsid w:val="005A0EFF"/>
    <w:rsid w:val="005A2183"/>
    <w:rsid w:val="005A2332"/>
    <w:rsid w:val="005A28E2"/>
    <w:rsid w:val="005A7728"/>
    <w:rsid w:val="005C0705"/>
    <w:rsid w:val="005C5A28"/>
    <w:rsid w:val="005C770A"/>
    <w:rsid w:val="005D5867"/>
    <w:rsid w:val="005D7480"/>
    <w:rsid w:val="005E362F"/>
    <w:rsid w:val="005E3DA6"/>
    <w:rsid w:val="005F0DD1"/>
    <w:rsid w:val="00601F02"/>
    <w:rsid w:val="00605B18"/>
    <w:rsid w:val="00605B3F"/>
    <w:rsid w:val="00610385"/>
    <w:rsid w:val="00610A27"/>
    <w:rsid w:val="006111A9"/>
    <w:rsid w:val="006228C6"/>
    <w:rsid w:val="00625A2C"/>
    <w:rsid w:val="00626541"/>
    <w:rsid w:val="006268B4"/>
    <w:rsid w:val="00627896"/>
    <w:rsid w:val="00630B64"/>
    <w:rsid w:val="00631CE9"/>
    <w:rsid w:val="006354D7"/>
    <w:rsid w:val="00635C52"/>
    <w:rsid w:val="006361CD"/>
    <w:rsid w:val="00637DE5"/>
    <w:rsid w:val="00640B99"/>
    <w:rsid w:val="00642590"/>
    <w:rsid w:val="00642CF1"/>
    <w:rsid w:val="006505BD"/>
    <w:rsid w:val="0065284F"/>
    <w:rsid w:val="006537E0"/>
    <w:rsid w:val="00661CAD"/>
    <w:rsid w:val="0066462C"/>
    <w:rsid w:val="00665CF0"/>
    <w:rsid w:val="00667363"/>
    <w:rsid w:val="006801ED"/>
    <w:rsid w:val="0068291F"/>
    <w:rsid w:val="006849D8"/>
    <w:rsid w:val="006858A2"/>
    <w:rsid w:val="00691770"/>
    <w:rsid w:val="00692153"/>
    <w:rsid w:val="0069301B"/>
    <w:rsid w:val="006932A2"/>
    <w:rsid w:val="00693F64"/>
    <w:rsid w:val="00695B0A"/>
    <w:rsid w:val="0069775B"/>
    <w:rsid w:val="006A0215"/>
    <w:rsid w:val="006A244C"/>
    <w:rsid w:val="006A3323"/>
    <w:rsid w:val="006A6CF6"/>
    <w:rsid w:val="006C4FD9"/>
    <w:rsid w:val="006C7169"/>
    <w:rsid w:val="006D0D4D"/>
    <w:rsid w:val="006D1E9F"/>
    <w:rsid w:val="006D20F1"/>
    <w:rsid w:val="006D493E"/>
    <w:rsid w:val="006D5B86"/>
    <w:rsid w:val="006D662E"/>
    <w:rsid w:val="006E082E"/>
    <w:rsid w:val="006E143E"/>
    <w:rsid w:val="006E3A82"/>
    <w:rsid w:val="006F11E9"/>
    <w:rsid w:val="006F28CE"/>
    <w:rsid w:val="006F5F81"/>
    <w:rsid w:val="006F7B27"/>
    <w:rsid w:val="007029E5"/>
    <w:rsid w:val="00705B22"/>
    <w:rsid w:val="007074A2"/>
    <w:rsid w:val="00710131"/>
    <w:rsid w:val="0071091F"/>
    <w:rsid w:val="007122EC"/>
    <w:rsid w:val="0071239F"/>
    <w:rsid w:val="007209C5"/>
    <w:rsid w:val="00721132"/>
    <w:rsid w:val="00724E7A"/>
    <w:rsid w:val="00727D19"/>
    <w:rsid w:val="0073052D"/>
    <w:rsid w:val="007330D8"/>
    <w:rsid w:val="00740B77"/>
    <w:rsid w:val="007415E7"/>
    <w:rsid w:val="0075058F"/>
    <w:rsid w:val="0075145F"/>
    <w:rsid w:val="007572FF"/>
    <w:rsid w:val="00763302"/>
    <w:rsid w:val="00767EB4"/>
    <w:rsid w:val="00777D17"/>
    <w:rsid w:val="00783907"/>
    <w:rsid w:val="007876A9"/>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F21EB"/>
    <w:rsid w:val="007F45C4"/>
    <w:rsid w:val="00807757"/>
    <w:rsid w:val="0081599C"/>
    <w:rsid w:val="00817663"/>
    <w:rsid w:val="00823B73"/>
    <w:rsid w:val="0082516F"/>
    <w:rsid w:val="008338A2"/>
    <w:rsid w:val="00834E8C"/>
    <w:rsid w:val="00835AD4"/>
    <w:rsid w:val="00835B9B"/>
    <w:rsid w:val="00844A6E"/>
    <w:rsid w:val="0085738B"/>
    <w:rsid w:val="00860428"/>
    <w:rsid w:val="00861EAF"/>
    <w:rsid w:val="008654F9"/>
    <w:rsid w:val="0086694D"/>
    <w:rsid w:val="0086742A"/>
    <w:rsid w:val="008716A4"/>
    <w:rsid w:val="008874F6"/>
    <w:rsid w:val="00890AB2"/>
    <w:rsid w:val="00891386"/>
    <w:rsid w:val="0089255C"/>
    <w:rsid w:val="00895BE9"/>
    <w:rsid w:val="008A61BA"/>
    <w:rsid w:val="008A680F"/>
    <w:rsid w:val="008B0E40"/>
    <w:rsid w:val="008B1ACE"/>
    <w:rsid w:val="008B3E49"/>
    <w:rsid w:val="008B721E"/>
    <w:rsid w:val="008C0712"/>
    <w:rsid w:val="008D062A"/>
    <w:rsid w:val="008D59F9"/>
    <w:rsid w:val="008E3DE2"/>
    <w:rsid w:val="008E4F8C"/>
    <w:rsid w:val="008F273C"/>
    <w:rsid w:val="008F49A9"/>
    <w:rsid w:val="008F661B"/>
    <w:rsid w:val="00902E8F"/>
    <w:rsid w:val="00904D2F"/>
    <w:rsid w:val="009057C0"/>
    <w:rsid w:val="00905A56"/>
    <w:rsid w:val="009067C7"/>
    <w:rsid w:val="00907C73"/>
    <w:rsid w:val="00915477"/>
    <w:rsid w:val="00916BC6"/>
    <w:rsid w:val="00921337"/>
    <w:rsid w:val="00921EF3"/>
    <w:rsid w:val="0092363F"/>
    <w:rsid w:val="0093168C"/>
    <w:rsid w:val="00932AB5"/>
    <w:rsid w:val="0093559C"/>
    <w:rsid w:val="009370CE"/>
    <w:rsid w:val="0094053B"/>
    <w:rsid w:val="009407F9"/>
    <w:rsid w:val="0094519A"/>
    <w:rsid w:val="00945714"/>
    <w:rsid w:val="0095066E"/>
    <w:rsid w:val="00953CC6"/>
    <w:rsid w:val="00955881"/>
    <w:rsid w:val="00956C8A"/>
    <w:rsid w:val="00960E32"/>
    <w:rsid w:val="00967178"/>
    <w:rsid w:val="00974C5F"/>
    <w:rsid w:val="00975DE6"/>
    <w:rsid w:val="00975EE7"/>
    <w:rsid w:val="009834DC"/>
    <w:rsid w:val="00987443"/>
    <w:rsid w:val="00993838"/>
    <w:rsid w:val="0099581D"/>
    <w:rsid w:val="009A443F"/>
    <w:rsid w:val="009A6C3F"/>
    <w:rsid w:val="009A79B5"/>
    <w:rsid w:val="009B22B9"/>
    <w:rsid w:val="009B705E"/>
    <w:rsid w:val="009C1F74"/>
    <w:rsid w:val="009C4B04"/>
    <w:rsid w:val="009C58AB"/>
    <w:rsid w:val="009D3D17"/>
    <w:rsid w:val="009D5FC8"/>
    <w:rsid w:val="009E62C1"/>
    <w:rsid w:val="009E650A"/>
    <w:rsid w:val="009F0017"/>
    <w:rsid w:val="009F0DC3"/>
    <w:rsid w:val="009F1299"/>
    <w:rsid w:val="009F2D5C"/>
    <w:rsid w:val="009F7B1D"/>
    <w:rsid w:val="00A01A47"/>
    <w:rsid w:val="00A142D0"/>
    <w:rsid w:val="00A16475"/>
    <w:rsid w:val="00A1663C"/>
    <w:rsid w:val="00A255DB"/>
    <w:rsid w:val="00A37F68"/>
    <w:rsid w:val="00A43A9D"/>
    <w:rsid w:val="00A45AD1"/>
    <w:rsid w:val="00A505C6"/>
    <w:rsid w:val="00A5362A"/>
    <w:rsid w:val="00A54CF2"/>
    <w:rsid w:val="00A6560A"/>
    <w:rsid w:val="00A65A96"/>
    <w:rsid w:val="00A82FC2"/>
    <w:rsid w:val="00A85FBA"/>
    <w:rsid w:val="00A91F33"/>
    <w:rsid w:val="00A96451"/>
    <w:rsid w:val="00AA40F6"/>
    <w:rsid w:val="00AB4675"/>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323A"/>
    <w:rsid w:val="00B40F3D"/>
    <w:rsid w:val="00B44915"/>
    <w:rsid w:val="00B465E7"/>
    <w:rsid w:val="00B476D1"/>
    <w:rsid w:val="00B60136"/>
    <w:rsid w:val="00B61216"/>
    <w:rsid w:val="00B74F74"/>
    <w:rsid w:val="00B75199"/>
    <w:rsid w:val="00B859D2"/>
    <w:rsid w:val="00B86BE2"/>
    <w:rsid w:val="00B948C4"/>
    <w:rsid w:val="00B94F8D"/>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C0138B"/>
    <w:rsid w:val="00C015BA"/>
    <w:rsid w:val="00C0435E"/>
    <w:rsid w:val="00C11394"/>
    <w:rsid w:val="00C122FC"/>
    <w:rsid w:val="00C208AE"/>
    <w:rsid w:val="00C20924"/>
    <w:rsid w:val="00C210AD"/>
    <w:rsid w:val="00C25666"/>
    <w:rsid w:val="00C26E45"/>
    <w:rsid w:val="00C37747"/>
    <w:rsid w:val="00C45BD8"/>
    <w:rsid w:val="00C52D2E"/>
    <w:rsid w:val="00C56F8E"/>
    <w:rsid w:val="00C65C5A"/>
    <w:rsid w:val="00C70E5A"/>
    <w:rsid w:val="00C8630B"/>
    <w:rsid w:val="00C869AD"/>
    <w:rsid w:val="00CA2BD3"/>
    <w:rsid w:val="00CA5822"/>
    <w:rsid w:val="00CB0F06"/>
    <w:rsid w:val="00CC0E18"/>
    <w:rsid w:val="00CC0FF9"/>
    <w:rsid w:val="00CC3A12"/>
    <w:rsid w:val="00CC3FDE"/>
    <w:rsid w:val="00CC66BB"/>
    <w:rsid w:val="00CC6986"/>
    <w:rsid w:val="00CE1CBF"/>
    <w:rsid w:val="00CF128E"/>
    <w:rsid w:val="00CF1E95"/>
    <w:rsid w:val="00CF469A"/>
    <w:rsid w:val="00D0133B"/>
    <w:rsid w:val="00D0197B"/>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B2934"/>
    <w:rsid w:val="00DB2EEA"/>
    <w:rsid w:val="00DC540E"/>
    <w:rsid w:val="00DD440B"/>
    <w:rsid w:val="00DE2B1F"/>
    <w:rsid w:val="00DE3F3D"/>
    <w:rsid w:val="00DE4EFC"/>
    <w:rsid w:val="00DE5FDB"/>
    <w:rsid w:val="00DE68B0"/>
    <w:rsid w:val="00DE6F1C"/>
    <w:rsid w:val="00DF1289"/>
    <w:rsid w:val="00DF1732"/>
    <w:rsid w:val="00E013E0"/>
    <w:rsid w:val="00E05325"/>
    <w:rsid w:val="00E0635E"/>
    <w:rsid w:val="00E07D00"/>
    <w:rsid w:val="00E10484"/>
    <w:rsid w:val="00E10B3E"/>
    <w:rsid w:val="00E10C52"/>
    <w:rsid w:val="00E11238"/>
    <w:rsid w:val="00E11EC2"/>
    <w:rsid w:val="00E20C73"/>
    <w:rsid w:val="00E214AA"/>
    <w:rsid w:val="00E238E7"/>
    <w:rsid w:val="00E2411C"/>
    <w:rsid w:val="00E2788C"/>
    <w:rsid w:val="00E332BA"/>
    <w:rsid w:val="00E424BD"/>
    <w:rsid w:val="00E42DA3"/>
    <w:rsid w:val="00E457E2"/>
    <w:rsid w:val="00E47DFA"/>
    <w:rsid w:val="00E5348A"/>
    <w:rsid w:val="00E568D8"/>
    <w:rsid w:val="00E60F0C"/>
    <w:rsid w:val="00E624D5"/>
    <w:rsid w:val="00E7363D"/>
    <w:rsid w:val="00E7534C"/>
    <w:rsid w:val="00E911DD"/>
    <w:rsid w:val="00E91C1A"/>
    <w:rsid w:val="00E91D4A"/>
    <w:rsid w:val="00EA3A4E"/>
    <w:rsid w:val="00EA3E0F"/>
    <w:rsid w:val="00EB0779"/>
    <w:rsid w:val="00EB350B"/>
    <w:rsid w:val="00EB50C1"/>
    <w:rsid w:val="00EC5307"/>
    <w:rsid w:val="00ED10DA"/>
    <w:rsid w:val="00ED6664"/>
    <w:rsid w:val="00EE2735"/>
    <w:rsid w:val="00EE7953"/>
    <w:rsid w:val="00EE7A8C"/>
    <w:rsid w:val="00EF0708"/>
    <w:rsid w:val="00EF3164"/>
    <w:rsid w:val="00EF3171"/>
    <w:rsid w:val="00EF45A7"/>
    <w:rsid w:val="00EF4877"/>
    <w:rsid w:val="00EF4B9B"/>
    <w:rsid w:val="00F02208"/>
    <w:rsid w:val="00F11785"/>
    <w:rsid w:val="00F12436"/>
    <w:rsid w:val="00F24061"/>
    <w:rsid w:val="00F241B1"/>
    <w:rsid w:val="00F278AC"/>
    <w:rsid w:val="00F33D29"/>
    <w:rsid w:val="00F35D6B"/>
    <w:rsid w:val="00F44014"/>
    <w:rsid w:val="00F559BE"/>
    <w:rsid w:val="00F6661D"/>
    <w:rsid w:val="00F72E87"/>
    <w:rsid w:val="00F90C59"/>
    <w:rsid w:val="00F913EC"/>
    <w:rsid w:val="00FA392F"/>
    <w:rsid w:val="00FA570A"/>
    <w:rsid w:val="00FA5A15"/>
    <w:rsid w:val="00FB419E"/>
    <w:rsid w:val="00FB55B3"/>
    <w:rsid w:val="00FC773A"/>
    <w:rsid w:val="00FD408D"/>
    <w:rsid w:val="00FD669E"/>
    <w:rsid w:val="00FE1D87"/>
    <w:rsid w:val="00FF76D7"/>
    <w:rsid w:val="00FF797F"/>
    <w:rsid w:val="082223BA"/>
    <w:rsid w:val="08DD1CA2"/>
    <w:rsid w:val="0FBFFB09"/>
    <w:rsid w:val="154E5F36"/>
    <w:rsid w:val="1685064F"/>
    <w:rsid w:val="16921052"/>
    <w:rsid w:val="199F2928"/>
    <w:rsid w:val="1BF51012"/>
    <w:rsid w:val="1C556DAA"/>
    <w:rsid w:val="1CAA53E0"/>
    <w:rsid w:val="1D766BDC"/>
    <w:rsid w:val="1D9868B0"/>
    <w:rsid w:val="1DDD22D6"/>
    <w:rsid w:val="1FDAB6C0"/>
    <w:rsid w:val="1FDD7577"/>
    <w:rsid w:val="20256E0E"/>
    <w:rsid w:val="20F72930"/>
    <w:rsid w:val="24763D61"/>
    <w:rsid w:val="26603156"/>
    <w:rsid w:val="2A6F0406"/>
    <w:rsid w:val="2C970D19"/>
    <w:rsid w:val="2D6FD8EB"/>
    <w:rsid w:val="2DF06932"/>
    <w:rsid w:val="2DFE40C8"/>
    <w:rsid w:val="2EF1171F"/>
    <w:rsid w:val="2F241D4E"/>
    <w:rsid w:val="33891CF7"/>
    <w:rsid w:val="34945B3E"/>
    <w:rsid w:val="34AF782F"/>
    <w:rsid w:val="354F2247"/>
    <w:rsid w:val="375A1A51"/>
    <w:rsid w:val="38413519"/>
    <w:rsid w:val="3C254B95"/>
    <w:rsid w:val="3D191CD8"/>
    <w:rsid w:val="3EFF0846"/>
    <w:rsid w:val="3FF74F64"/>
    <w:rsid w:val="40C23DE1"/>
    <w:rsid w:val="421853A2"/>
    <w:rsid w:val="42782725"/>
    <w:rsid w:val="46094CA4"/>
    <w:rsid w:val="46EF4B0C"/>
    <w:rsid w:val="46F94A08"/>
    <w:rsid w:val="473E5A37"/>
    <w:rsid w:val="4AAE5753"/>
    <w:rsid w:val="4B9E3242"/>
    <w:rsid w:val="4D040A25"/>
    <w:rsid w:val="4D1A70D0"/>
    <w:rsid w:val="4E21586E"/>
    <w:rsid w:val="4EBB24A8"/>
    <w:rsid w:val="4F1D6B69"/>
    <w:rsid w:val="4F7BF814"/>
    <w:rsid w:val="532076DA"/>
    <w:rsid w:val="53605111"/>
    <w:rsid w:val="55FB8FB7"/>
    <w:rsid w:val="56DF6064"/>
    <w:rsid w:val="5A3D0B08"/>
    <w:rsid w:val="5A8F82B1"/>
    <w:rsid w:val="5B6F40C1"/>
    <w:rsid w:val="5B76165D"/>
    <w:rsid w:val="5C583690"/>
    <w:rsid w:val="5DD8FF9C"/>
    <w:rsid w:val="5EFFC56B"/>
    <w:rsid w:val="5F7D00AB"/>
    <w:rsid w:val="5FC36AEE"/>
    <w:rsid w:val="5FE97587"/>
    <w:rsid w:val="5FFF13A7"/>
    <w:rsid w:val="604C5681"/>
    <w:rsid w:val="60E125F2"/>
    <w:rsid w:val="618F44CD"/>
    <w:rsid w:val="62526887"/>
    <w:rsid w:val="6675EB22"/>
    <w:rsid w:val="693F467C"/>
    <w:rsid w:val="69817B62"/>
    <w:rsid w:val="6ADC65C6"/>
    <w:rsid w:val="6AF9230A"/>
    <w:rsid w:val="6D50163C"/>
    <w:rsid w:val="6DA73012"/>
    <w:rsid w:val="6E7BF3F0"/>
    <w:rsid w:val="6E7D0778"/>
    <w:rsid w:val="6F213C35"/>
    <w:rsid w:val="6FDF33EE"/>
    <w:rsid w:val="6FFFBA26"/>
    <w:rsid w:val="70613A2A"/>
    <w:rsid w:val="71B9C8F1"/>
    <w:rsid w:val="734B1E8B"/>
    <w:rsid w:val="73BF7608"/>
    <w:rsid w:val="7466E1C9"/>
    <w:rsid w:val="74DDC8A5"/>
    <w:rsid w:val="76C7E565"/>
    <w:rsid w:val="77574EFE"/>
    <w:rsid w:val="77BF5628"/>
    <w:rsid w:val="79422511"/>
    <w:rsid w:val="7A32747A"/>
    <w:rsid w:val="7B5FA77A"/>
    <w:rsid w:val="7BFB37FB"/>
    <w:rsid w:val="7D73AA24"/>
    <w:rsid w:val="7D8636B9"/>
    <w:rsid w:val="7F7FFD5A"/>
    <w:rsid w:val="7FCF7920"/>
    <w:rsid w:val="7FE3409A"/>
    <w:rsid w:val="7FFEB4F5"/>
    <w:rsid w:val="7FFEC78A"/>
    <w:rsid w:val="7FFF7AC2"/>
    <w:rsid w:val="9FF769EE"/>
    <w:rsid w:val="A6F6AEA4"/>
    <w:rsid w:val="AA4F24B7"/>
    <w:rsid w:val="AFB1A9A5"/>
    <w:rsid w:val="BBBEDB70"/>
    <w:rsid w:val="BCA9ACA1"/>
    <w:rsid w:val="BD066BB6"/>
    <w:rsid w:val="BDCF2838"/>
    <w:rsid w:val="BEF5405D"/>
    <w:rsid w:val="BFF362BE"/>
    <w:rsid w:val="D4BF4DDF"/>
    <w:rsid w:val="D75DB670"/>
    <w:rsid w:val="DFEF0403"/>
    <w:rsid w:val="E339CD9F"/>
    <w:rsid w:val="E7B5F6A9"/>
    <w:rsid w:val="EDFE63DB"/>
    <w:rsid w:val="EEAEEC61"/>
    <w:rsid w:val="EF35A270"/>
    <w:rsid w:val="EFB5DB90"/>
    <w:rsid w:val="EFFD492F"/>
    <w:rsid w:val="F137DDB5"/>
    <w:rsid w:val="F3FFA2D2"/>
    <w:rsid w:val="F5B5EDD6"/>
    <w:rsid w:val="F6B7A5DA"/>
    <w:rsid w:val="F7BA3CF8"/>
    <w:rsid w:val="F7FC9FDA"/>
    <w:rsid w:val="FAAB5FE9"/>
    <w:rsid w:val="FE351F53"/>
    <w:rsid w:val="FEB36C46"/>
    <w:rsid w:val="FEBFB0D7"/>
    <w:rsid w:val="FEE25E60"/>
    <w:rsid w:val="FF772F10"/>
    <w:rsid w:val="FFF4D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8"/>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qFormat/>
    <w:uiPriority w:val="0"/>
    <w:pPr>
      <w:jc w:val="center"/>
    </w:pPr>
    <w:rPr>
      <w:rFonts w:ascii="仿宋_GB2312" w:hAnsi="仿宋_GB2312" w:eastAsia="黑体"/>
    </w:rPr>
  </w:style>
  <w:style w:type="paragraph" w:styleId="5">
    <w:name w:val="Document Map"/>
    <w:basedOn w:val="1"/>
    <w:link w:val="23"/>
    <w:semiHidden/>
    <w:qFormat/>
    <w:uiPriority w:val="0"/>
    <w:pPr>
      <w:shd w:val="clear" w:color="auto" w:fill="000080"/>
    </w:pPr>
  </w:style>
  <w:style w:type="paragraph" w:styleId="6">
    <w:name w:val="annotation text"/>
    <w:basedOn w:val="1"/>
    <w:unhideWhenUsed/>
    <w:qFormat/>
    <w:uiPriority w:val="0"/>
    <w:pPr>
      <w:jc w:val="left"/>
    </w:pPr>
  </w:style>
  <w:style w:type="paragraph" w:styleId="7">
    <w:name w:val="Body Text Indent"/>
    <w:basedOn w:val="1"/>
    <w:link w:val="20"/>
    <w:qFormat/>
    <w:uiPriority w:val="0"/>
    <w:pPr>
      <w:spacing w:line="360" w:lineRule="auto"/>
      <w:ind w:left="360"/>
    </w:pPr>
    <w:rPr>
      <w:sz w:val="24"/>
    </w:rPr>
  </w:style>
  <w:style w:type="paragraph" w:styleId="8">
    <w:name w:val="Body Text Indent 2"/>
    <w:basedOn w:val="1"/>
    <w:link w:val="21"/>
    <w:qFormat/>
    <w:uiPriority w:val="0"/>
    <w:pPr>
      <w:ind w:firstLine="636" w:firstLineChars="227"/>
    </w:pPr>
    <w:rPr>
      <w:sz w:val="28"/>
    </w:rPr>
  </w:style>
  <w:style w:type="paragraph" w:styleId="9">
    <w:name w:val="Balloon Text"/>
    <w:basedOn w:val="1"/>
    <w:link w:val="24"/>
    <w:semiHidden/>
    <w:qFormat/>
    <w:uiPriority w:val="0"/>
    <w:rPr>
      <w:sz w:val="18"/>
      <w:szCs w:val="18"/>
    </w:rPr>
  </w:style>
  <w:style w:type="paragraph" w:styleId="10">
    <w:name w:val="footer"/>
    <w:basedOn w:val="1"/>
    <w:link w:val="25"/>
    <w:qFormat/>
    <w:uiPriority w:val="0"/>
    <w:pPr>
      <w:tabs>
        <w:tab w:val="center" w:pos="4153"/>
        <w:tab w:val="right" w:pos="8306"/>
      </w:tabs>
      <w:snapToGrid w:val="0"/>
      <w:jc w:val="left"/>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22"/>
    <w:qFormat/>
    <w:uiPriority w:val="0"/>
    <w:pPr>
      <w:ind w:left="-250" w:leftChars="-250" w:firstLine="560" w:firstLineChars="200"/>
    </w:pPr>
    <w:rPr>
      <w:rFonts w:eastAsia="仿宋_GB2312"/>
      <w:sz w:val="28"/>
    </w:rPr>
  </w:style>
  <w:style w:type="character" w:styleId="15">
    <w:name w:val="page number"/>
    <w:basedOn w:val="14"/>
    <w:qFormat/>
    <w:uiPriority w:val="0"/>
    <w:rPr>
      <w:rFonts w:cs="Times New Roman"/>
    </w:rPr>
  </w:style>
  <w:style w:type="character" w:styleId="16">
    <w:name w:val="Hyperlink"/>
    <w:basedOn w:val="14"/>
    <w:qFormat/>
    <w:uiPriority w:val="0"/>
    <w:rPr>
      <w:rFonts w:cs="Times New Roman"/>
      <w:color w:val="0000FF"/>
      <w:u w:val="single"/>
    </w:rPr>
  </w:style>
  <w:style w:type="character" w:styleId="17">
    <w:name w:val="annotation reference"/>
    <w:basedOn w:val="14"/>
    <w:semiHidden/>
    <w:unhideWhenUsed/>
    <w:qFormat/>
    <w:uiPriority w:val="0"/>
    <w:rPr>
      <w:sz w:val="21"/>
      <w:szCs w:val="21"/>
    </w:rPr>
  </w:style>
  <w:style w:type="character" w:customStyle="1" w:styleId="18">
    <w:name w:val="标题 1 字符"/>
    <w:basedOn w:val="14"/>
    <w:link w:val="4"/>
    <w:qFormat/>
    <w:locked/>
    <w:uiPriority w:val="0"/>
    <w:rPr>
      <w:rFonts w:cs="Times New Roman"/>
      <w:b/>
      <w:bCs/>
      <w:kern w:val="44"/>
      <w:sz w:val="44"/>
      <w:szCs w:val="44"/>
    </w:rPr>
  </w:style>
  <w:style w:type="character" w:customStyle="1" w:styleId="19">
    <w:name w:val="black000"/>
    <w:basedOn w:val="14"/>
    <w:qFormat/>
    <w:uiPriority w:val="0"/>
    <w:rPr>
      <w:rFonts w:cs="Times New Roman"/>
    </w:rPr>
  </w:style>
  <w:style w:type="character" w:customStyle="1" w:styleId="20">
    <w:name w:val="正文文本缩进 字符"/>
    <w:basedOn w:val="14"/>
    <w:link w:val="7"/>
    <w:semiHidden/>
    <w:qFormat/>
    <w:locked/>
    <w:uiPriority w:val="0"/>
    <w:rPr>
      <w:rFonts w:cs="Times New Roman"/>
      <w:sz w:val="24"/>
      <w:szCs w:val="24"/>
    </w:rPr>
  </w:style>
  <w:style w:type="character" w:customStyle="1" w:styleId="21">
    <w:name w:val="正文文本缩进 2 字符"/>
    <w:basedOn w:val="14"/>
    <w:link w:val="8"/>
    <w:semiHidden/>
    <w:qFormat/>
    <w:locked/>
    <w:uiPriority w:val="0"/>
    <w:rPr>
      <w:rFonts w:cs="Times New Roman"/>
      <w:sz w:val="24"/>
      <w:szCs w:val="24"/>
    </w:rPr>
  </w:style>
  <w:style w:type="character" w:customStyle="1" w:styleId="22">
    <w:name w:val="正文文本缩进 3 字符"/>
    <w:basedOn w:val="14"/>
    <w:link w:val="12"/>
    <w:semiHidden/>
    <w:qFormat/>
    <w:locked/>
    <w:uiPriority w:val="0"/>
    <w:rPr>
      <w:rFonts w:cs="Times New Roman"/>
      <w:sz w:val="16"/>
      <w:szCs w:val="16"/>
    </w:rPr>
  </w:style>
  <w:style w:type="character" w:customStyle="1" w:styleId="23">
    <w:name w:val="文档结构图 字符"/>
    <w:basedOn w:val="14"/>
    <w:link w:val="5"/>
    <w:semiHidden/>
    <w:qFormat/>
    <w:locked/>
    <w:uiPriority w:val="0"/>
    <w:rPr>
      <w:rFonts w:cs="Times New Roman"/>
      <w:sz w:val="2"/>
    </w:rPr>
  </w:style>
  <w:style w:type="character" w:customStyle="1" w:styleId="24">
    <w:name w:val="批注框文本 字符"/>
    <w:basedOn w:val="14"/>
    <w:link w:val="9"/>
    <w:semiHidden/>
    <w:qFormat/>
    <w:locked/>
    <w:uiPriority w:val="0"/>
    <w:rPr>
      <w:rFonts w:cs="Times New Roman"/>
      <w:sz w:val="2"/>
    </w:rPr>
  </w:style>
  <w:style w:type="character" w:customStyle="1" w:styleId="25">
    <w:name w:val="页脚 字符"/>
    <w:basedOn w:val="14"/>
    <w:link w:val="10"/>
    <w:semiHidden/>
    <w:qFormat/>
    <w:locked/>
    <w:uiPriority w:val="0"/>
    <w:rPr>
      <w:rFonts w:cs="Times New Roman"/>
      <w:sz w:val="18"/>
      <w:szCs w:val="18"/>
    </w:rPr>
  </w:style>
  <w:style w:type="character" w:customStyle="1" w:styleId="26">
    <w:name w:val="页眉 字符"/>
    <w:basedOn w:val="14"/>
    <w:link w:val="11"/>
    <w:qFormat/>
    <w:locked/>
    <w:uiPriority w:val="0"/>
    <w:rPr>
      <w:rFonts w:cs="Times New Roman"/>
      <w:kern w:val="2"/>
      <w:sz w:val="18"/>
    </w:rPr>
  </w:style>
  <w:style w:type="paragraph" w:customStyle="1" w:styleId="27">
    <w:name w:val="List Paragraph1"/>
    <w:basedOn w:val="1"/>
    <w:qFormat/>
    <w:uiPriority w:val="0"/>
    <w:pPr>
      <w:ind w:firstLine="420" w:firstLineChars="200"/>
    </w:pPr>
  </w:style>
  <w:style w:type="paragraph" w:customStyle="1" w:styleId="28">
    <w:name w:val="Char Char Char Char"/>
    <w:basedOn w:val="1"/>
    <w:qFormat/>
    <w:uiPriority w:val="0"/>
    <w:rPr>
      <w:szCs w:val="20"/>
    </w:rPr>
  </w:style>
  <w:style w:type="character" w:customStyle="1" w:styleId="29">
    <w:name w:val="apple-converted-space"/>
    <w:basedOn w:val="14"/>
    <w:qFormat/>
    <w:uiPriority w:val="0"/>
    <w:rPr>
      <w:rFonts w:cs="Times New Roman"/>
    </w:rPr>
  </w:style>
  <w:style w:type="paragraph" w:customStyle="1" w:styleId="30">
    <w:name w:val="列出段落1"/>
    <w:basedOn w:val="1"/>
    <w:qFormat/>
    <w:uiPriority w:val="0"/>
    <w:pPr>
      <w:ind w:firstLine="420" w:firstLineChars="200"/>
    </w:pPr>
    <w:rPr>
      <w:rFonts w:ascii="Calibri" w:hAnsi="Calibri"/>
      <w:szCs w:val="22"/>
    </w:rPr>
  </w:style>
  <w:style w:type="paragraph" w:customStyle="1" w:styleId="31">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ChengJiaoChu</Company>
  <Pages>10</Pages>
  <Words>3612</Words>
  <Characters>3732</Characters>
  <Lines>27</Lines>
  <Paragraphs>7</Paragraphs>
  <TotalTime>0</TotalTime>
  <ScaleCrop>false</ScaleCrop>
  <LinksUpToDate>false</LinksUpToDate>
  <CharactersWithSpaces>3734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2022-05-13T06:34:00Z</dcterms:created>
  <dc:creator>zhang</dc:creator>
  <cp:lastModifiedBy>yang</cp:lastModifiedBy>
  <cp:lastPrinted>2014-06-03T22:37:00Z</cp:lastPrinted>
  <dcterms:modified xsi:type="dcterms:W3CDTF">2022-05-18T00:54:53Z</dcterms:modified>
  <dc:title>维修电工竞赛技术纲要</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1900DE2D02B149D3BEFF632607D1CEFF</vt:lpwstr>
  </property>
</Properties>
</file>